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008C4">
      <w:pPr>
        <w:widowControl/>
        <w:adjustRightInd w:val="0"/>
        <w:snapToGrid w:val="0"/>
        <w:spacing w:line="480" w:lineRule="auto"/>
        <w:jc w:val="center"/>
        <w:rPr>
          <w:rFonts w:hint="eastAsia" w:ascii="黑体" w:hAnsi="黑体" w:eastAsia="黑体" w:cs="黑体"/>
          <w:b/>
          <w:bCs/>
          <w:kern w:val="0"/>
          <w:sz w:val="36"/>
          <w:szCs w:val="36"/>
          <w:lang w:eastAsia="zh-CN"/>
        </w:rPr>
      </w:pPr>
      <w:r>
        <w:rPr>
          <w:rFonts w:hint="eastAsia" w:ascii="黑体" w:hAnsi="黑体" w:eastAsia="黑体" w:cs="黑体"/>
          <w:b/>
          <w:bCs/>
          <w:kern w:val="0"/>
          <w:sz w:val="36"/>
          <w:szCs w:val="36"/>
          <w:lang w:eastAsia="zh-CN"/>
        </w:rPr>
        <w:t>“阿坝州松材线虫病监测体系建设及健康经营技术</w:t>
      </w:r>
    </w:p>
    <w:p w14:paraId="5B09B811">
      <w:pPr>
        <w:widowControl/>
        <w:adjustRightInd w:val="0"/>
        <w:snapToGrid w:val="0"/>
        <w:spacing w:line="480" w:lineRule="auto"/>
        <w:jc w:val="center"/>
        <w:rPr>
          <w:rFonts w:hint="eastAsia" w:ascii="黑体" w:hAnsi="黑体" w:eastAsia="黑体" w:cs="黑体"/>
          <w:b/>
          <w:bCs/>
          <w:kern w:val="0"/>
          <w:sz w:val="36"/>
          <w:szCs w:val="36"/>
          <w:lang w:eastAsia="zh-CN"/>
        </w:rPr>
      </w:pPr>
      <w:r>
        <w:rPr>
          <w:rFonts w:hint="eastAsia" w:ascii="黑体" w:hAnsi="黑体" w:eastAsia="黑体" w:cs="黑体"/>
          <w:b/>
          <w:bCs/>
          <w:kern w:val="0"/>
          <w:sz w:val="36"/>
          <w:szCs w:val="36"/>
          <w:lang w:eastAsia="zh-CN"/>
        </w:rPr>
        <w:t>研究与示范”</w:t>
      </w:r>
      <w:r>
        <w:rPr>
          <w:rFonts w:hint="eastAsia" w:ascii="黑体" w:hAnsi="黑体" w:eastAsia="黑体" w:cs="黑体"/>
          <w:b/>
          <w:bCs/>
          <w:kern w:val="0"/>
          <w:sz w:val="36"/>
          <w:szCs w:val="36"/>
          <w:lang w:val="en-US" w:eastAsia="zh-CN"/>
        </w:rPr>
        <w:t>项目</w:t>
      </w:r>
      <w:r>
        <w:rPr>
          <w:rFonts w:hint="eastAsia" w:ascii="黑体" w:hAnsi="黑体" w:eastAsia="黑体" w:cs="黑体"/>
          <w:b/>
          <w:bCs/>
          <w:kern w:val="0"/>
          <w:sz w:val="36"/>
          <w:szCs w:val="36"/>
          <w:lang w:eastAsia="zh-CN"/>
        </w:rPr>
        <w:t>专项预算绩效</w:t>
      </w:r>
      <w:r>
        <w:rPr>
          <w:rFonts w:hint="eastAsia" w:ascii="黑体" w:hAnsi="黑体" w:eastAsia="黑体" w:cs="黑体"/>
          <w:b/>
          <w:bCs/>
          <w:kern w:val="0"/>
          <w:sz w:val="36"/>
          <w:szCs w:val="36"/>
          <w:lang w:val="en-US" w:eastAsia="zh-CN"/>
        </w:rPr>
        <w:t>自</w:t>
      </w:r>
      <w:r>
        <w:rPr>
          <w:rFonts w:hint="eastAsia" w:ascii="黑体" w:hAnsi="黑体" w:eastAsia="黑体" w:cs="黑体"/>
          <w:b/>
          <w:bCs/>
          <w:kern w:val="0"/>
          <w:sz w:val="36"/>
          <w:szCs w:val="36"/>
          <w:lang w:eastAsia="zh-CN"/>
        </w:rPr>
        <w:t>评报告</w:t>
      </w:r>
    </w:p>
    <w:p w14:paraId="7C461BF9">
      <w:pPr>
        <w:pStyle w:val="2"/>
        <w:rPr>
          <w:rFonts w:hint="eastAsia"/>
          <w:b/>
          <w:bCs/>
        </w:rPr>
      </w:pPr>
    </w:p>
    <w:p w14:paraId="0C2E36F2">
      <w:pPr>
        <w:numPr>
          <w:ilvl w:val="0"/>
          <w:numId w:val="1"/>
        </w:numPr>
        <w:tabs>
          <w:tab w:val="left" w:pos="5010"/>
        </w:tabs>
        <w:spacing w:line="570" w:lineRule="exact"/>
        <w:rPr>
          <w:rFonts w:ascii="Times New Roman" w:hAnsi="Times New Roman" w:eastAsia="楷体_GB2312" w:cs="Times New Roman"/>
          <w:b/>
          <w:bCs/>
          <w:szCs w:val="32"/>
        </w:rPr>
      </w:pPr>
      <w:r>
        <w:rPr>
          <w:rFonts w:ascii="Times New Roman" w:hAnsi="Times New Roman" w:eastAsia="楷体_GB2312" w:cs="Times New Roman"/>
          <w:b/>
          <w:bCs/>
          <w:szCs w:val="32"/>
        </w:rPr>
        <w:t>项目概况</w:t>
      </w:r>
    </w:p>
    <w:p w14:paraId="750074FE">
      <w:pPr>
        <w:pStyle w:val="2"/>
        <w:numPr>
          <w:ilvl w:val="0"/>
          <w:numId w:val="0"/>
        </w:numPr>
        <w:rPr>
          <w:rFonts w:hint="eastAsia" w:eastAsiaTheme="minorEastAsia"/>
          <w:b/>
          <w:bCs/>
          <w:lang w:eastAsia="zh-CN"/>
        </w:rPr>
      </w:pPr>
      <w:r>
        <w:rPr>
          <w:rFonts w:hint="eastAsia"/>
          <w:b/>
          <w:bCs/>
          <w:lang w:eastAsia="zh-CN"/>
        </w:rPr>
        <w:t>（一）设立背景及基本情况</w:t>
      </w:r>
    </w:p>
    <w:p w14:paraId="6C921C97">
      <w:pPr>
        <w:numPr>
          <w:ilvl w:val="0"/>
          <w:numId w:val="0"/>
        </w:numPr>
        <w:spacing w:line="360" w:lineRule="auto"/>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 xml:space="preserve">  </w:t>
      </w:r>
      <w:r>
        <w:rPr>
          <w:rFonts w:hint="eastAsia" w:ascii="Times New Roman" w:hAnsi="Times New Roman" w:eastAsia="仿宋_GB2312" w:cs="Times New Roman"/>
          <w:szCs w:val="32"/>
        </w:rPr>
        <w:t>松材线虫病是全球森林生态系统中最具危险性、毁灭性的病害之一</w:t>
      </w:r>
      <w:r>
        <w:rPr>
          <w:rFonts w:hint="eastAsia" w:ascii="Times New Roman" w:hAnsi="Times New Roman" w:eastAsia="仿宋_GB2312" w:cs="Times New Roman"/>
          <w:szCs w:val="32"/>
          <w:lang w:eastAsia="zh-CN"/>
        </w:rPr>
        <w:t>。阿坝州松林资源丰富，生态区位十分重要，时刻面临松材线虫病入侵的严重威胁。本项</w:t>
      </w:r>
      <w:bookmarkStart w:id="0" w:name="_GoBack"/>
      <w:bookmarkEnd w:id="0"/>
      <w:r>
        <w:rPr>
          <w:rFonts w:hint="eastAsia" w:ascii="Times New Roman" w:hAnsi="Times New Roman" w:eastAsia="仿宋_GB2312" w:cs="Times New Roman"/>
          <w:szCs w:val="32"/>
          <w:lang w:eastAsia="zh-CN"/>
        </w:rPr>
        <w:t>目应用高光谱无人机遥感监测技术、</w:t>
      </w:r>
      <w:r>
        <w:rPr>
          <w:rFonts w:hint="eastAsia" w:ascii="Times New Roman" w:hAnsi="Times New Roman" w:eastAsia="仿宋_GB2312" w:cs="Times New Roman"/>
          <w:szCs w:val="32"/>
          <w:lang w:val="en-US" w:eastAsia="zh-CN"/>
        </w:rPr>
        <w:t>森林火灾</w:t>
      </w:r>
      <w:r>
        <w:rPr>
          <w:rFonts w:hint="eastAsia" w:ascii="Times New Roman" w:hAnsi="Times New Roman" w:eastAsia="仿宋_GB2312" w:cs="Times New Roman"/>
          <w:szCs w:val="32"/>
          <w:lang w:eastAsia="zh-CN"/>
        </w:rPr>
        <w:t>高清探头智能识别技术、松材线虫病早期诊断技术等先进技术引进和创新，结合地面人工识别和监测技术，建立阿坝州松材线虫病智能识别及立体监测网络，达到实时、动态监测松林的健康情况；通过媒介昆虫生物防治、重点区域松林注射免疫剂，结合河流、道路天然屏障构建生物阻隔带，打造阻止松材线虫入侵的绿色防线；</w:t>
      </w:r>
      <w:r>
        <w:rPr>
          <w:rFonts w:hint="eastAsia" w:ascii="Times New Roman" w:hAnsi="Times New Roman" w:eastAsia="仿宋_GB2312" w:cs="Times New Roman"/>
          <w:szCs w:val="32"/>
          <w:lang w:val="en-US" w:eastAsia="zh-CN"/>
        </w:rPr>
        <w:t xml:space="preserve"> 通过综合运用树种调整、密度控制、种群调控及林相改造更新等技术打造健康稳定的森林生态系统，提升松林的御灾减灾能力； 根据阿坝州森林资源特点、海拔分布等因素对全区松材线虫病发生风险进行科学评价，制定科学的防控策略。通过这些技术创新、集成和应用，有效抵御松材线虫病在阿坝州的入侵和危害，保障阿坝州松林的生态安全。</w:t>
      </w:r>
    </w:p>
    <w:p w14:paraId="13D3444D">
      <w:pPr>
        <w:numPr>
          <w:ilvl w:val="0"/>
          <w:numId w:val="0"/>
        </w:numPr>
        <w:spacing w:line="360" w:lineRule="auto"/>
        <w:ind w:firstLine="643" w:firstLineChars="200"/>
        <w:rPr>
          <w:rFonts w:hint="default"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1、项目研究主要内容</w:t>
      </w:r>
    </w:p>
    <w:p w14:paraId="43398DB5">
      <w:pPr>
        <w:numPr>
          <w:ilvl w:val="0"/>
          <w:numId w:val="0"/>
        </w:numPr>
        <w:spacing w:line="360" w:lineRule="auto"/>
        <w:ind w:firstLine="643" w:firstLineChars="200"/>
        <w:rPr>
          <w:rFonts w:hint="eastAsia" w:ascii="Times New Roman" w:hAnsi="Times New Roman" w:eastAsia="仿宋_GB2312" w:cs="Times New Roman"/>
          <w:szCs w:val="32"/>
        </w:rPr>
      </w:pPr>
      <w:r>
        <w:rPr>
          <w:rFonts w:hint="eastAsia" w:ascii="Times New Roman" w:hAnsi="Times New Roman" w:eastAsia="仿宋_GB2312" w:cs="Times New Roman"/>
          <w:b/>
          <w:bCs/>
          <w:szCs w:val="32"/>
        </w:rPr>
        <w:t>（1）应用地面智能监测识别技术，建立动态智能监测网络</w:t>
      </w:r>
    </w:p>
    <w:p w14:paraId="7EFE74C4">
      <w:pPr>
        <w:pStyle w:val="2"/>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kern w:val="2"/>
          <w:sz w:val="32"/>
          <w:szCs w:val="32"/>
          <w:lang w:val="en-US" w:eastAsia="zh-CN" w:bidi="ar-SA"/>
        </w:rPr>
        <w:t>利用森林防火办的森林火灾监测的高清探头定期收集监测点附近松林高清影像资料，然后应用卷积神径网络人工智能算法对影像资料中的松林健康情况进行实时动态监测。</w:t>
      </w:r>
    </w:p>
    <w:p w14:paraId="63979759">
      <w:pPr>
        <w:numPr>
          <w:ilvl w:val="0"/>
          <w:numId w:val="0"/>
        </w:numPr>
        <w:spacing w:line="360" w:lineRule="auto"/>
        <w:ind w:firstLine="643" w:firstLineChars="200"/>
        <w:rPr>
          <w:rFonts w:hint="eastAsia" w:ascii="Times New Roman" w:hAnsi="Times New Roman" w:eastAsia="仿宋_GB2312" w:cs="Times New Roman"/>
          <w:b/>
          <w:bCs/>
          <w:szCs w:val="32"/>
        </w:rPr>
      </w:pPr>
      <w:r>
        <w:rPr>
          <w:rFonts w:hint="eastAsia" w:ascii="Times New Roman" w:hAnsi="Times New Roman" w:eastAsia="仿宋_GB2312" w:cs="Times New Roman"/>
          <w:b/>
          <w:bCs/>
          <w:szCs w:val="32"/>
        </w:rPr>
        <w:t>（2）应用无人机低空遥感监测技术和松材线虫病早期诊断技术，建立松材线虫病早期预警系统</w:t>
      </w:r>
    </w:p>
    <w:p w14:paraId="246450A7">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研究松材线虫病在阿坝州寄主松树上不同感病程度、不同发生阶段针叶的光谱变化规律，建立光谱诊断特征模型和特异性诊断指标体系，同时应用高光谱无人机遥感技术、智能巡航技术、大数据分析及深度学习技术的应用及时发现早期感病松树，应用松材线虫病早期诊断技术准确鉴定松材线虫病的入侵和危害情况，建立重要生态区域或高风险区域松材线虫病的早期预警系统。</w:t>
      </w:r>
    </w:p>
    <w:p w14:paraId="7F691B1C">
      <w:pPr>
        <w:numPr>
          <w:ilvl w:val="0"/>
          <w:numId w:val="0"/>
        </w:numPr>
        <w:spacing w:line="360" w:lineRule="auto"/>
        <w:ind w:firstLine="643" w:firstLineChars="200"/>
        <w:rPr>
          <w:rFonts w:hint="eastAsia" w:ascii="Times New Roman" w:hAnsi="Times New Roman" w:eastAsia="仿宋_GB2312" w:cs="Times New Roman"/>
          <w:b/>
          <w:bCs/>
          <w:szCs w:val="32"/>
        </w:rPr>
      </w:pPr>
      <w:r>
        <w:rPr>
          <w:rFonts w:hint="eastAsia" w:ascii="Times New Roman" w:hAnsi="Times New Roman" w:eastAsia="仿宋_GB2312" w:cs="Times New Roman"/>
          <w:b/>
          <w:bCs/>
          <w:szCs w:val="32"/>
        </w:rPr>
        <w:t>（3）</w:t>
      </w:r>
      <w:r>
        <w:rPr>
          <w:rFonts w:hint="eastAsia" w:ascii="Times New Roman" w:hAnsi="Times New Roman" w:eastAsia="仿宋_GB2312" w:cs="Times New Roman"/>
          <w:b/>
          <w:bCs/>
          <w:szCs w:val="32"/>
          <w:lang w:val="en-US" w:eastAsia="zh-CN"/>
        </w:rPr>
        <w:t>采用</w:t>
      </w:r>
      <w:r>
        <w:rPr>
          <w:rFonts w:hint="eastAsia" w:ascii="Times New Roman" w:hAnsi="Times New Roman" w:eastAsia="仿宋_GB2312" w:cs="Times New Roman"/>
          <w:b/>
          <w:bCs/>
          <w:szCs w:val="32"/>
        </w:rPr>
        <w:t>高风险区域松材线虫病阻截技术，科学构建生物阻隔带</w:t>
      </w:r>
    </w:p>
    <w:p w14:paraId="015250C2">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阿坝州与广元、绵阳、乐山、雅安等疫区交界的松林为高风险区，通过引进和应用白僵菌防治、花绒寄甲天敌防治等生物防治方法有效降低松墨天牛虫口密度，减少松材线虫病传播和扩散的风险，高风险区域的重要生态区松林通过注射甲维盐等免疫剂防止松材线虫病传入和危害，结合河流、道路天然屏障作用合理构建防止松材线虫病入侵的生物阻隔带。</w:t>
      </w:r>
    </w:p>
    <w:p w14:paraId="7AE9B82F">
      <w:pPr>
        <w:numPr>
          <w:ilvl w:val="0"/>
          <w:numId w:val="0"/>
        </w:numPr>
        <w:spacing w:line="360" w:lineRule="auto"/>
        <w:ind w:firstLine="643" w:firstLineChars="200"/>
        <w:rPr>
          <w:rFonts w:hint="eastAsia" w:ascii="Times New Roman" w:hAnsi="Times New Roman" w:eastAsia="仿宋_GB2312" w:cs="Times New Roman"/>
          <w:b/>
          <w:bCs/>
          <w:szCs w:val="32"/>
        </w:rPr>
      </w:pPr>
      <w:r>
        <w:rPr>
          <w:rFonts w:hint="eastAsia" w:ascii="Times New Roman" w:hAnsi="Times New Roman" w:eastAsia="仿宋_GB2312" w:cs="Times New Roman"/>
          <w:b/>
          <w:bCs/>
          <w:szCs w:val="32"/>
        </w:rPr>
        <w:t>（4）低质低效松林的健康经营技术，提高松林健康水平和抵御松材线虫病能力</w:t>
      </w:r>
    </w:p>
    <w:p w14:paraId="0EACCE9D">
      <w:pPr>
        <w:numPr>
          <w:ilvl w:val="0"/>
          <w:numId w:val="0"/>
        </w:numPr>
        <w:spacing w:line="360" w:lineRule="auto"/>
        <w:ind w:firstLine="960" w:firstLineChars="300"/>
        <w:rPr>
          <w:rFonts w:hint="eastAsia" w:ascii="Times New Roman" w:hAnsi="Times New Roman" w:eastAsia="仿宋_GB2312" w:cs="Times New Roman"/>
          <w:szCs w:val="32"/>
        </w:rPr>
      </w:pPr>
      <w:r>
        <w:rPr>
          <w:rFonts w:hint="eastAsia" w:ascii="Times New Roman" w:hAnsi="Times New Roman" w:eastAsia="仿宋_GB2312" w:cs="Times New Roman"/>
          <w:szCs w:val="32"/>
        </w:rPr>
        <w:t>对松树密度高、长势较弱的低质低效松林和生态脆弱区松林，特别是对生态功能和生态景观要求较高的松林，通过树种调整、密度控制、种群调控及林相改造更新等技术，降低劣质松树比例，提高乡土树种、彩色树种及珍贵用材树种的比例，人工调整林分结构，促进森林生态系统演替更新，构建健康松林，提高林分对松材线虫病的抵御能力。</w:t>
      </w:r>
    </w:p>
    <w:p w14:paraId="7055DABB">
      <w:pPr>
        <w:numPr>
          <w:ilvl w:val="0"/>
          <w:numId w:val="0"/>
        </w:numPr>
        <w:spacing w:line="360" w:lineRule="auto"/>
        <w:ind w:firstLine="643" w:firstLineChars="200"/>
        <w:rPr>
          <w:rFonts w:hint="eastAsia" w:ascii="Times New Roman" w:hAnsi="Times New Roman" w:eastAsia="仿宋_GB2312" w:cs="Times New Roman"/>
          <w:b/>
          <w:bCs/>
          <w:szCs w:val="32"/>
        </w:rPr>
      </w:pPr>
      <w:r>
        <w:rPr>
          <w:rFonts w:hint="eastAsia" w:ascii="Times New Roman" w:hAnsi="Times New Roman" w:eastAsia="仿宋_GB2312" w:cs="Times New Roman"/>
          <w:b/>
          <w:bCs/>
          <w:szCs w:val="32"/>
          <w:lang w:eastAsia="zh-CN"/>
        </w:rPr>
        <w:t>（</w:t>
      </w:r>
      <w:r>
        <w:rPr>
          <w:rFonts w:hint="eastAsia" w:ascii="Times New Roman" w:hAnsi="Times New Roman" w:eastAsia="仿宋_GB2312" w:cs="Times New Roman"/>
          <w:b/>
          <w:bCs/>
          <w:szCs w:val="32"/>
          <w:lang w:val="en-US" w:eastAsia="zh-CN"/>
        </w:rPr>
        <w:t>5</w:t>
      </w:r>
      <w:r>
        <w:rPr>
          <w:rFonts w:hint="eastAsia" w:ascii="Times New Roman" w:hAnsi="Times New Roman" w:eastAsia="仿宋_GB2312" w:cs="Times New Roman"/>
          <w:b/>
          <w:bCs/>
          <w:szCs w:val="32"/>
          <w:lang w:eastAsia="zh-CN"/>
        </w:rPr>
        <w:t>）</w:t>
      </w:r>
      <w:r>
        <w:rPr>
          <w:rFonts w:hint="eastAsia" w:ascii="Times New Roman" w:hAnsi="Times New Roman" w:eastAsia="仿宋_GB2312" w:cs="Times New Roman"/>
          <w:b/>
          <w:bCs/>
          <w:szCs w:val="32"/>
        </w:rPr>
        <w:t>阿坝州松材线虫病潜在风险评价分析</w:t>
      </w:r>
    </w:p>
    <w:p w14:paraId="1A7951DC">
      <w:pPr>
        <w:numPr>
          <w:ilvl w:val="0"/>
          <w:numId w:val="0"/>
        </w:numPr>
        <w:spacing w:line="360" w:lineRule="auto"/>
        <w:ind w:firstLine="960" w:firstLineChars="300"/>
        <w:rPr>
          <w:rFonts w:hint="eastAsia" w:ascii="Times New Roman" w:hAnsi="Times New Roman" w:eastAsia="仿宋_GB2312" w:cs="Times New Roman"/>
          <w:szCs w:val="32"/>
        </w:rPr>
      </w:pPr>
      <w:r>
        <w:rPr>
          <w:rFonts w:hint="eastAsia" w:ascii="Times New Roman" w:hAnsi="Times New Roman" w:eastAsia="仿宋_GB2312" w:cs="Times New Roman"/>
          <w:szCs w:val="32"/>
        </w:rPr>
        <w:t>根据阿坝州松林资源特点及垂直气候带分布特点，从气象、人类活动、媒介昆虫种类、树种特性等因素对不同海拔高度区域松林发生松材线虫病潜在风险进行评价和分析，根据不同风险等级，制定相应的防控策略，分类精准施策，提高最大防控效能。</w:t>
      </w:r>
    </w:p>
    <w:p w14:paraId="0882AC58">
      <w:pPr>
        <w:numPr>
          <w:ilvl w:val="0"/>
          <w:numId w:val="2"/>
        </w:numPr>
        <w:rPr>
          <w:rFonts w:hint="default" w:ascii="Times New Roman" w:hAnsi="Times New Roman" w:eastAsia="仿宋_GB2312" w:cs="Times New Roman"/>
          <w:b/>
          <w:bCs/>
          <w:kern w:val="2"/>
          <w:sz w:val="32"/>
          <w:szCs w:val="32"/>
          <w:lang w:val="en-US" w:eastAsia="zh-CN" w:bidi="ar-SA"/>
        </w:rPr>
      </w:pPr>
      <w:r>
        <w:rPr>
          <w:rFonts w:hint="eastAsia"/>
          <w:b/>
          <w:bCs/>
          <w:lang w:eastAsia="zh-CN"/>
        </w:rPr>
        <w:t>实施目的及支持方向</w:t>
      </w:r>
    </w:p>
    <w:p w14:paraId="7BD12DAB">
      <w:pPr>
        <w:pStyle w:val="2"/>
        <w:rPr>
          <w:rFonts w:hint="default" w:ascii="Times New Roman" w:hAnsi="Times New Roman" w:eastAsia="仿宋_GB2312" w:cs="Times New Roman"/>
          <w:kern w:val="2"/>
          <w:sz w:val="32"/>
          <w:szCs w:val="32"/>
          <w:lang w:val="en-US" w:eastAsia="zh-CN" w:bidi="ar-SA"/>
        </w:rPr>
      </w:pPr>
      <w:r>
        <w:rPr>
          <w:rFonts w:hint="eastAsia"/>
          <w:b/>
          <w:bCs/>
          <w:lang w:val="en-US" w:eastAsia="zh-CN"/>
        </w:rPr>
        <w:t xml:space="preserve">  </w:t>
      </w:r>
      <w:r>
        <w:rPr>
          <w:rFonts w:hint="eastAsia" w:ascii="Times New Roman" w:hAnsi="Times New Roman" w:eastAsia="仿宋_GB2312" w:cs="Times New Roman"/>
          <w:kern w:val="2"/>
          <w:sz w:val="32"/>
          <w:szCs w:val="32"/>
          <w:lang w:val="en-US" w:eastAsia="zh-CN" w:bidi="ar-SA"/>
        </w:rPr>
        <w:t xml:space="preserve">   项目实施后，通过技术的创新、集成和应用，有效抵御松材线虫病在阿坝州的入侵和危害，保障阿坝州松林的生态安全。</w:t>
      </w:r>
    </w:p>
    <w:p w14:paraId="1ECCEA3B">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（1）应用高光谱无人机遥感监测技术、</w:t>
      </w:r>
      <w:r>
        <w:rPr>
          <w:rFonts w:hint="eastAsia" w:ascii="Times New Roman" w:hAnsi="Times New Roman" w:eastAsia="仿宋_GB2312" w:cs="Times New Roman"/>
          <w:szCs w:val="32"/>
          <w:lang w:val="en-US" w:eastAsia="zh-CN"/>
        </w:rPr>
        <w:t>森林火灾</w:t>
      </w:r>
      <w:r>
        <w:rPr>
          <w:rFonts w:hint="eastAsia" w:ascii="Times New Roman" w:hAnsi="Times New Roman" w:eastAsia="仿宋_GB2312" w:cs="Times New Roman"/>
          <w:szCs w:val="32"/>
        </w:rPr>
        <w:t>高清探头智能识别技术、松材线虫病早期诊断技术等先进技术创新和应用，结合地面人工识别和监测技术，建立阿坝州松材线虫病智能识别及</w:t>
      </w:r>
      <w:r>
        <w:rPr>
          <w:rFonts w:hint="eastAsia" w:ascii="Times New Roman" w:hAnsi="Times New Roman" w:eastAsia="仿宋_GB2312" w:cs="Times New Roman"/>
          <w:szCs w:val="32"/>
          <w:lang w:eastAsia="zh-CN"/>
        </w:rPr>
        <w:t>预警的</w:t>
      </w:r>
      <w:r>
        <w:rPr>
          <w:rFonts w:hint="eastAsia" w:ascii="Times New Roman" w:hAnsi="Times New Roman" w:eastAsia="仿宋_GB2312" w:cs="Times New Roman"/>
          <w:szCs w:val="32"/>
        </w:rPr>
        <w:t>立体监测网络，达到实时、动态监测松林的健康情况，及时有效阻止松材线虫病的入侵，构建松材线虫病防控的第一道防线。</w:t>
      </w:r>
    </w:p>
    <w:p w14:paraId="5E876FFD">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2）根据阿坝州部分相邻地区为松材线虫病疫区，松材线虫病传入和扩散风险大的特点，通过生物防治技术控制媒介昆虫种群数量、重点区域注射免疫剂，结合河流、道路天然屏障构建生物阻隔带，防止松材线虫病入侵和危害，构建松材线虫病阻截扑灭第二道防线。</w:t>
      </w:r>
    </w:p>
    <w:p w14:paraId="1548BF15">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3）针对部分低质低效松林结构不合理、生态系统脆弱容易遭受松材线虫病等重大森林病虫害危害特点，综合运用树种调整、密度控制、种群调控及林相改造更新等技术打造健康稳定的森林生态系统抵御松材线虫病的危害，构建御灾减灾第三道防线。</w:t>
      </w:r>
    </w:p>
    <w:p w14:paraId="3B8B100C">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（4）根据阿坝州松林资源特点及垂直气候带分布特点，从气象、人类活动、媒介昆虫种类、树种特性等因素对不同海拔高度松林发生松材线虫病风险进行评价和分析，制定不同风险等级，制定相应的防控策略。</w:t>
      </w:r>
    </w:p>
    <w:p w14:paraId="5843BFDB">
      <w:pPr>
        <w:pStyle w:val="2"/>
        <w:numPr>
          <w:ilvl w:val="0"/>
          <w:numId w:val="2"/>
        </w:numPr>
        <w:ind w:left="0" w:leftChars="0" w:firstLine="0" w:firstLineChars="0"/>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预算安排及分配管理</w:t>
      </w:r>
    </w:p>
    <w:p w14:paraId="2D4C66DB">
      <w:pPr>
        <w:numPr>
          <w:ilvl w:val="0"/>
          <w:numId w:val="0"/>
        </w:numPr>
        <w:spacing w:line="360" w:lineRule="auto"/>
        <w:ind w:firstLine="640" w:firstLineChars="200"/>
        <w:rPr>
          <w:rFonts w:hint="default"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项目经费预算为100.0万元，到位经费100.0万元，全部为财政科技经费。</w:t>
      </w:r>
    </w:p>
    <w:p w14:paraId="027298FA">
      <w:pPr>
        <w:numPr>
          <w:ilvl w:val="0"/>
          <w:numId w:val="0"/>
        </w:numPr>
        <w:ind w:leftChars="0" w:firstLine="640" w:firstLineChars="200"/>
        <w:rPr>
          <w:rFonts w:hint="eastAsia"/>
          <w:lang w:val="en-US" w:eastAsia="zh-CN"/>
        </w:rPr>
      </w:pPr>
      <w:r>
        <w:rPr>
          <w:rFonts w:hint="eastAsia" w:ascii="Times New Roman" w:hAnsi="Times New Roman" w:eastAsia="仿宋_GB2312" w:cs="Times New Roman"/>
          <w:color w:val="auto"/>
          <w:szCs w:val="32"/>
          <w:lang w:eastAsia="zh-CN"/>
        </w:rPr>
        <w:t>项目研究的各项经费支出由项目负责人、财务和所领导审批，严格按照</w:t>
      </w:r>
      <w:r>
        <w:rPr>
          <w:rFonts w:hint="eastAsia" w:ascii="Times New Roman" w:hAnsi="Times New Roman" w:eastAsia="仿宋_GB2312" w:cs="Times New Roman"/>
          <w:szCs w:val="32"/>
          <w:lang w:val="en-US" w:eastAsia="zh-CN"/>
        </w:rPr>
        <w:t>《四川省科技计划项目专项资金管理办法》和相关规定开支。项目经费做到独立建账，专款专用，合理开支。项目总经费100.0万元，其中项目承担单位阿坝州林业和草原科学技术研究所60.0万元，项目合作单位浙江省林业科学研究院40.0万元。</w:t>
      </w:r>
      <w:r>
        <w:rPr>
          <w:rFonts w:hint="eastAsia"/>
          <w:lang w:val="en-US" w:eastAsia="zh-CN"/>
        </w:rPr>
        <w:t xml:space="preserve"> </w:t>
      </w:r>
    </w:p>
    <w:p w14:paraId="0306EA2E">
      <w:pPr>
        <w:numPr>
          <w:ilvl w:val="0"/>
          <w:numId w:val="2"/>
        </w:numPr>
        <w:ind w:left="0" w:leftChars="0" w:firstLine="0" w:firstLineChars="0"/>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项目绩效目标设置</w:t>
      </w:r>
    </w:p>
    <w:p w14:paraId="120619BA">
      <w:pPr>
        <w:pStyle w:val="2"/>
        <w:rPr>
          <w:rFonts w:hint="default"/>
          <w:lang w:val="en-US" w:eastAsia="zh-CN"/>
        </w:rPr>
      </w:pPr>
      <w:r>
        <w:rPr>
          <w:rFonts w:hint="eastAsia" w:ascii="Times New Roman" w:hAnsi="Times New Roman" w:eastAsia="仿宋_GB2312" w:cs="Times New Roman"/>
          <w:b/>
          <w:bCs/>
          <w:szCs w:val="32"/>
          <w:lang w:val="en-US" w:eastAsia="zh-CN"/>
        </w:rPr>
        <w:t>1、项目绩效目标设置情况</w:t>
      </w:r>
    </w:p>
    <w:p w14:paraId="6800B3FC">
      <w:pPr>
        <w:numPr>
          <w:ilvl w:val="0"/>
          <w:numId w:val="0"/>
        </w:numPr>
        <w:spacing w:line="360" w:lineRule="auto"/>
        <w:rPr>
          <w:rFonts w:hint="eastAsia" w:ascii="Times New Roman" w:hAnsi="Times New Roman" w:eastAsia="仿宋_GB2312" w:cs="Times New Roman"/>
          <w:b/>
          <w:bCs/>
          <w:szCs w:val="32"/>
          <w:lang w:eastAsia="zh-CN"/>
        </w:rPr>
      </w:pPr>
      <w:r>
        <w:rPr>
          <w:rFonts w:hint="eastAsia" w:ascii="Times New Roman" w:hAnsi="Times New Roman" w:eastAsia="仿宋_GB2312" w:cs="Times New Roman"/>
          <w:b/>
          <w:bCs/>
          <w:szCs w:val="32"/>
          <w:lang w:eastAsia="zh-CN"/>
        </w:rPr>
        <w:t>（</w:t>
      </w:r>
      <w:r>
        <w:rPr>
          <w:rFonts w:hint="eastAsia" w:ascii="Times New Roman" w:hAnsi="Times New Roman" w:eastAsia="仿宋_GB2312" w:cs="Times New Roman"/>
          <w:b/>
          <w:bCs/>
          <w:szCs w:val="32"/>
          <w:lang w:val="en-US" w:eastAsia="zh-CN"/>
        </w:rPr>
        <w:t>1）</w:t>
      </w:r>
      <w:r>
        <w:rPr>
          <w:rFonts w:hint="eastAsia" w:ascii="Times New Roman" w:hAnsi="Times New Roman" w:eastAsia="仿宋_GB2312" w:cs="Times New Roman"/>
          <w:b/>
          <w:bCs/>
          <w:szCs w:val="32"/>
          <w:lang w:eastAsia="zh-CN"/>
        </w:rPr>
        <w:t>技术创新目标</w:t>
      </w:r>
    </w:p>
    <w:p w14:paraId="3FEFC1A6">
      <w:pPr>
        <w:keepNext w:val="0"/>
        <w:keepLines w:val="0"/>
        <w:widowControl/>
        <w:suppressLineNumbers w:val="0"/>
        <w:ind w:firstLine="643" w:firstLineChars="200"/>
        <w:jc w:val="left"/>
        <w:rPr>
          <w:rFonts w:hint="eastAsia" w:ascii="Times New Roman" w:hAnsi="Times New Roman" w:eastAsia="仿宋_GB2312" w:cs="Times New Roman"/>
          <w:b/>
          <w:bCs/>
          <w:kern w:val="2"/>
          <w:sz w:val="32"/>
          <w:szCs w:val="32"/>
          <w:lang w:val="en-US" w:eastAsia="zh-CN" w:bidi="ar-SA"/>
        </w:rPr>
      </w:pPr>
      <w:r>
        <w:rPr>
          <w:rFonts w:hint="default" w:ascii="Calibri" w:hAnsi="Calibri" w:eastAsia="仿宋_GB2312" w:cs="Calibri"/>
          <w:b/>
          <w:bCs/>
          <w:kern w:val="2"/>
          <w:sz w:val="32"/>
          <w:szCs w:val="32"/>
          <w:lang w:val="en-US" w:eastAsia="zh-CN" w:bidi="ar-SA"/>
        </w:rPr>
        <w:t>①</w:t>
      </w:r>
      <w:r>
        <w:rPr>
          <w:rFonts w:hint="eastAsia" w:ascii="Times New Roman" w:hAnsi="Times New Roman" w:eastAsia="仿宋_GB2312" w:cs="Times New Roman"/>
          <w:b/>
          <w:bCs/>
          <w:kern w:val="2"/>
          <w:sz w:val="32"/>
          <w:szCs w:val="32"/>
          <w:lang w:val="en-US" w:eastAsia="zh-CN" w:bidi="ar-SA"/>
        </w:rPr>
        <w:t xml:space="preserve">监测网络体系 </w:t>
      </w:r>
    </w:p>
    <w:p w14:paraId="79CDCCC1">
      <w:pPr>
        <w:numPr>
          <w:ilvl w:val="0"/>
          <w:numId w:val="0"/>
        </w:numPr>
        <w:spacing w:line="360" w:lineRule="auto"/>
        <w:ind w:firstLine="320" w:firstLineChars="100"/>
        <w:rPr>
          <w:rFonts w:hint="eastAsia" w:ascii="Times New Roman" w:hAnsi="Times New Roman" w:eastAsia="仿宋_GB2312" w:cs="Times New Roman"/>
          <w:szCs w:val="32"/>
        </w:rPr>
      </w:pPr>
      <w:r>
        <w:rPr>
          <w:rFonts w:hint="eastAsia" w:ascii="Times New Roman" w:hAnsi="Times New Roman" w:eastAsia="仿宋_GB2312" w:cs="Times New Roman"/>
          <w:szCs w:val="32"/>
        </w:rPr>
        <w:t>在生态区位重要的阿坝州理县、九寨沟建立松材线虫病智能监测网络体系各1套，有效抵制松材线虫病的入侵和发生。</w:t>
      </w:r>
    </w:p>
    <w:p w14:paraId="7EAA4DCF">
      <w:pPr>
        <w:pStyle w:val="2"/>
        <w:ind w:firstLine="643" w:firstLineChars="200"/>
        <w:rPr>
          <w:rFonts w:hint="default" w:ascii="Times New Roman" w:hAnsi="Times New Roman" w:eastAsia="仿宋_GB2312" w:cs="Times New Roman"/>
          <w:b/>
          <w:bCs/>
          <w:kern w:val="2"/>
          <w:sz w:val="32"/>
          <w:szCs w:val="32"/>
          <w:lang w:val="en-US" w:eastAsia="zh-CN" w:bidi="ar-SA"/>
        </w:rPr>
      </w:pPr>
      <w:r>
        <w:rPr>
          <w:rFonts w:hint="default" w:ascii="Calibri" w:hAnsi="Calibri" w:eastAsia="仿宋_GB2312" w:cs="Calibri"/>
          <w:b/>
          <w:bCs/>
          <w:kern w:val="2"/>
          <w:sz w:val="32"/>
          <w:szCs w:val="32"/>
          <w:lang w:val="en-US" w:eastAsia="zh-CN" w:bidi="ar-SA"/>
        </w:rPr>
        <w:t>②</w:t>
      </w:r>
      <w:r>
        <w:rPr>
          <w:rFonts w:hint="eastAsia" w:ascii="Times New Roman" w:hAnsi="Times New Roman" w:eastAsia="仿宋_GB2312" w:cs="Times New Roman"/>
          <w:b/>
          <w:bCs/>
          <w:kern w:val="2"/>
          <w:sz w:val="32"/>
          <w:szCs w:val="32"/>
          <w:lang w:val="en-US" w:eastAsia="zh-CN" w:bidi="ar-SA"/>
        </w:rPr>
        <w:t xml:space="preserve"> 知识产权、论文论著</w:t>
      </w:r>
    </w:p>
    <w:p w14:paraId="78F715AE">
      <w:pPr>
        <w:numPr>
          <w:ilvl w:val="0"/>
          <w:numId w:val="0"/>
        </w:numPr>
        <w:spacing w:line="360" w:lineRule="auto"/>
        <w:ind w:firstLine="640" w:firstLineChars="200"/>
        <w:rPr>
          <w:rFonts w:hint="eastAsia" w:ascii="Times New Roman" w:hAnsi="Times New Roman" w:eastAsia="仿宋_GB2312" w:cs="Times New Roman"/>
          <w:szCs w:val="32"/>
        </w:rPr>
      </w:pPr>
      <w:r>
        <w:rPr>
          <w:rFonts w:hint="eastAsia" w:ascii="Times New Roman" w:hAnsi="Times New Roman" w:eastAsia="仿宋_GB2312" w:cs="Times New Roman"/>
          <w:szCs w:val="32"/>
        </w:rPr>
        <w:t>申请发明专利1项，</w:t>
      </w:r>
      <w:r>
        <w:rPr>
          <w:rFonts w:hint="eastAsia" w:ascii="Times New Roman" w:hAnsi="Times New Roman" w:eastAsia="仿宋_GB2312" w:cs="Times New Roman"/>
          <w:szCs w:val="32"/>
          <w:lang w:eastAsia="zh-CN"/>
        </w:rPr>
        <w:t>公开</w:t>
      </w:r>
      <w:r>
        <w:rPr>
          <w:rFonts w:hint="eastAsia" w:ascii="Times New Roman" w:hAnsi="Times New Roman" w:eastAsia="仿宋_GB2312" w:cs="Times New Roman"/>
          <w:szCs w:val="32"/>
        </w:rPr>
        <w:t>发表论文</w:t>
      </w:r>
      <w:r>
        <w:rPr>
          <w:rFonts w:hint="eastAsia" w:ascii="Times New Roman" w:hAnsi="Times New Roman" w:eastAsia="仿宋_GB2312" w:cs="Times New Roman"/>
          <w:szCs w:val="32"/>
          <w:lang w:val="en-US" w:eastAsia="zh-CN"/>
        </w:rPr>
        <w:t>2</w:t>
      </w:r>
      <w:r>
        <w:rPr>
          <w:rFonts w:hint="eastAsia" w:ascii="Times New Roman" w:hAnsi="Times New Roman" w:eastAsia="仿宋_GB2312" w:cs="Times New Roman"/>
          <w:szCs w:val="32"/>
        </w:rPr>
        <w:t>篇。</w:t>
      </w:r>
    </w:p>
    <w:p w14:paraId="7AC1E9CB">
      <w:pPr>
        <w:pStyle w:val="2"/>
        <w:numPr>
          <w:ilvl w:val="0"/>
          <w:numId w:val="0"/>
        </w:numPr>
        <w:rPr>
          <w:rFonts w:hint="default" w:ascii="Times New Roman" w:hAnsi="Times New Roman" w:eastAsia="仿宋_GB2312" w:cs="Times New Roman"/>
          <w:szCs w:val="32"/>
          <w:lang w:val="en-US" w:eastAsia="zh-CN"/>
        </w:rPr>
      </w:pPr>
      <w:r>
        <w:rPr>
          <w:rFonts w:hint="eastAsia"/>
          <w:lang w:val="en-US" w:eastAsia="zh-CN"/>
        </w:rPr>
        <w:t>（</w:t>
      </w:r>
      <w:r>
        <w:rPr>
          <w:rFonts w:hint="eastAsia"/>
          <w:b/>
          <w:bCs/>
          <w:lang w:val="en-US" w:eastAsia="zh-CN"/>
        </w:rPr>
        <w:t>2</w:t>
      </w:r>
      <w:r>
        <w:rPr>
          <w:rFonts w:hint="eastAsia"/>
          <w:lang w:val="en-US" w:eastAsia="zh-CN"/>
        </w:rPr>
        <w:t>）</w:t>
      </w:r>
      <w:r>
        <w:rPr>
          <w:rFonts w:hint="eastAsia" w:ascii="Times New Roman" w:hAnsi="Times New Roman" w:eastAsia="仿宋_GB2312" w:cs="Times New Roman"/>
          <w:b/>
          <w:bCs/>
          <w:kern w:val="2"/>
          <w:sz w:val="32"/>
          <w:szCs w:val="32"/>
          <w:lang w:val="en-US" w:eastAsia="zh-CN" w:bidi="ar-SA"/>
        </w:rPr>
        <w:t xml:space="preserve">示范应用目标 </w:t>
      </w:r>
    </w:p>
    <w:p w14:paraId="539AAF06">
      <w:pPr>
        <w:numPr>
          <w:ilvl w:val="0"/>
          <w:numId w:val="0"/>
        </w:numPr>
        <w:spacing w:line="360" w:lineRule="auto"/>
        <w:ind w:firstLine="643" w:firstLineChars="20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示范基地及规模</w:t>
      </w:r>
    </w:p>
    <w:p w14:paraId="5A5E0329">
      <w:pPr>
        <w:numPr>
          <w:ilvl w:val="0"/>
          <w:numId w:val="0"/>
        </w:numPr>
        <w:spacing w:line="360" w:lineRule="auto"/>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rPr>
        <w:t>通过先进技术引进、转化、集成创新和推广应用，在理县和九寨沟分别建立5公里以上生物阻隔带，建立健康松林生态系统管理示范林50亩</w:t>
      </w:r>
      <w:r>
        <w:rPr>
          <w:rFonts w:hint="eastAsia" w:ascii="Times New Roman" w:hAnsi="Times New Roman" w:eastAsia="仿宋_GB2312" w:cs="Times New Roman"/>
          <w:szCs w:val="32"/>
          <w:lang w:eastAsia="zh-CN"/>
        </w:rPr>
        <w:t>；</w:t>
      </w:r>
      <w:r>
        <w:rPr>
          <w:rFonts w:hint="eastAsia" w:ascii="Times New Roman" w:hAnsi="Times New Roman" w:eastAsia="仿宋_GB2312" w:cs="Times New Roman"/>
          <w:szCs w:val="32"/>
          <w:lang w:val="en-US" w:eastAsia="zh-CN"/>
        </w:rPr>
        <w:t xml:space="preserve"> </w:t>
      </w:r>
    </w:p>
    <w:p w14:paraId="6053FEFE">
      <w:pPr>
        <w:numPr>
          <w:ilvl w:val="0"/>
          <w:numId w:val="0"/>
        </w:numPr>
        <w:spacing w:line="360" w:lineRule="auto"/>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（3）推广应用目标</w:t>
      </w:r>
    </w:p>
    <w:p w14:paraId="1099E94D">
      <w:pPr>
        <w:numPr>
          <w:ilvl w:val="0"/>
          <w:numId w:val="0"/>
        </w:numPr>
        <w:spacing w:line="360" w:lineRule="auto"/>
        <w:ind w:firstLine="643" w:firstLineChars="200"/>
        <w:rPr>
          <w:rFonts w:hint="eastAsia" w:ascii="Times New Roman" w:hAnsi="Times New Roman" w:eastAsia="仿宋_GB2312" w:cs="Times New Roman"/>
          <w:szCs w:val="32"/>
        </w:rPr>
      </w:pPr>
      <w:r>
        <w:rPr>
          <w:rFonts w:hint="default" w:ascii="Calibri" w:hAnsi="Calibri" w:eastAsia="仿宋_GB2312" w:cs="Calibri"/>
          <w:b/>
          <w:bCs/>
          <w:szCs w:val="32"/>
        </w:rPr>
        <w:t>①</w:t>
      </w:r>
      <w:r>
        <w:rPr>
          <w:rFonts w:hint="eastAsia" w:ascii="Times New Roman" w:hAnsi="Times New Roman" w:eastAsia="仿宋_GB2312" w:cs="Times New Roman"/>
          <w:szCs w:val="32"/>
        </w:rPr>
        <w:t>通过技术交流和培训，在阿坝州建立一支松材线虫病早期诊断和检测专业队伍，检测结果可靠性达95％以上。</w:t>
      </w:r>
    </w:p>
    <w:p w14:paraId="0F60DB83">
      <w:pPr>
        <w:pStyle w:val="2"/>
        <w:ind w:firstLine="643" w:firstLineChars="200"/>
        <w:rPr>
          <w:rFonts w:hint="default" w:ascii="Times New Roman" w:hAnsi="Times New Roman" w:eastAsia="仿宋_GB2312" w:cs="Times New Roman"/>
          <w:b/>
          <w:bCs/>
          <w:kern w:val="2"/>
          <w:sz w:val="32"/>
          <w:szCs w:val="32"/>
          <w:lang w:val="en-US" w:eastAsia="zh-CN" w:bidi="ar-SA"/>
        </w:rPr>
      </w:pPr>
      <w:r>
        <w:rPr>
          <w:rFonts w:hint="default" w:ascii="Calibri" w:hAnsi="Calibri" w:eastAsia="仿宋_GB2312" w:cs="Calibri"/>
          <w:b/>
          <w:bCs/>
          <w:kern w:val="2"/>
          <w:sz w:val="32"/>
          <w:szCs w:val="32"/>
          <w:lang w:val="en-US" w:eastAsia="zh-CN" w:bidi="ar-SA"/>
        </w:rPr>
        <w:t>②</w:t>
      </w:r>
      <w:r>
        <w:rPr>
          <w:rFonts w:hint="eastAsia" w:ascii="Times New Roman" w:hAnsi="Times New Roman" w:eastAsia="仿宋_GB2312" w:cs="Times New Roman"/>
          <w:b/>
          <w:bCs/>
          <w:kern w:val="2"/>
          <w:sz w:val="32"/>
          <w:szCs w:val="32"/>
          <w:lang w:val="en-US" w:eastAsia="zh-CN" w:bidi="ar-SA"/>
        </w:rPr>
        <w:t>人才引进及培训</w:t>
      </w:r>
    </w:p>
    <w:p w14:paraId="3BB2F2F5">
      <w:pPr>
        <w:numPr>
          <w:ilvl w:val="0"/>
          <w:numId w:val="0"/>
        </w:numPr>
        <w:spacing w:line="360" w:lineRule="auto"/>
        <w:ind w:firstLine="960" w:firstLineChars="3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rPr>
        <w:t>通过项目研究取得的技术成果，举办技术培训2期，培训技术人员100人次以上，发放培训资料400份以上；</w:t>
      </w:r>
      <w:r>
        <w:rPr>
          <w:rFonts w:hint="eastAsia" w:ascii="Times New Roman" w:hAnsi="Times New Roman" w:eastAsia="仿宋_GB2312" w:cs="Times New Roman"/>
          <w:szCs w:val="32"/>
          <w:lang w:eastAsia="zh-CN"/>
        </w:rPr>
        <w:t>通过项目实施、技术交流和培训进行人才培养，完成职称晋升高级</w:t>
      </w:r>
      <w:r>
        <w:rPr>
          <w:rFonts w:hint="eastAsia" w:ascii="Times New Roman" w:hAnsi="Times New Roman" w:eastAsia="仿宋_GB2312" w:cs="Times New Roman"/>
          <w:szCs w:val="32"/>
          <w:lang w:val="en-US" w:eastAsia="zh-CN"/>
        </w:rPr>
        <w:t>2人、中级1人。</w:t>
      </w:r>
    </w:p>
    <w:p w14:paraId="73662B21">
      <w:pPr>
        <w:pStyle w:val="2"/>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（4）社会效益目标</w:t>
      </w:r>
    </w:p>
    <w:p w14:paraId="03D21F3A">
      <w:pPr>
        <w:numPr>
          <w:ilvl w:val="0"/>
          <w:numId w:val="0"/>
        </w:numPr>
        <w:spacing w:line="360" w:lineRule="auto"/>
        <w:ind w:firstLine="960" w:firstLineChars="300"/>
        <w:rPr>
          <w:rFonts w:hint="default"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 xml:space="preserve">森林是“钱库、粮库、水库和碳库”，通过本项目的实施能够形成适合阿坝州区域特点的松材线虫病综合防控 </w:t>
      </w:r>
      <w:r>
        <w:rPr>
          <w:rFonts w:hint="default" w:ascii="Times New Roman" w:hAnsi="Times New Roman" w:eastAsia="仿宋_GB2312" w:cs="Times New Roman"/>
          <w:szCs w:val="32"/>
          <w:lang w:val="en-US" w:eastAsia="zh-CN"/>
        </w:rPr>
        <w:t xml:space="preserve">技术体系，牢牢构筑松材线虫病的监测预警、阻截扑灭与防御减灾三道防线，根据不同区域风险等级采取相应 的防控措施，达到精准和高效防控，打造抵御松材线虫的坚强“堡垒”，显著提高阿坝州松材线虫病的综合防 控能力和水平，保护松林健康及森林生态安全，减少木材和经济损失，确保“森林是钱库、粮库、水库和碳 库”等经济、生态价值的实现，有力保障社会经济的可持续健康发展，因而经济、社会效益均十分显著。 </w:t>
      </w:r>
    </w:p>
    <w:p w14:paraId="6A235802">
      <w:pPr>
        <w:pStyle w:val="2"/>
        <w:rPr>
          <w:rFonts w:hint="default"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2、项目自评工作开展情况</w:t>
      </w:r>
    </w:p>
    <w:p w14:paraId="50046FE3">
      <w:pPr>
        <w:numPr>
          <w:ilvl w:val="0"/>
          <w:numId w:val="0"/>
        </w:numPr>
        <w:tabs>
          <w:tab w:val="left" w:pos="5010"/>
        </w:tabs>
        <w:spacing w:line="570" w:lineRule="exact"/>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为规范科技计划项目实施，确保项目的顺利开展和研发成效。根据阿坝州财政局关于开展2025年度州级部门预算绩效自评工作的通知要求，阿坝州林业和草原科学技术研究所组成了由所领导任组长，分管领导任副组长，研究室主任及财务人员参加考评小组，对照绩效评价体系指标重点对项目组织管理、试验研究及示范基地建设、科技人员培训、知识产权和人才培养等方面逐项进行考评。</w:t>
      </w:r>
    </w:p>
    <w:p w14:paraId="7ED0B0F6">
      <w:pPr>
        <w:numPr>
          <w:ilvl w:val="0"/>
          <w:numId w:val="1"/>
        </w:numPr>
        <w:tabs>
          <w:tab w:val="left" w:pos="5010"/>
        </w:tabs>
        <w:spacing w:line="570" w:lineRule="exact"/>
        <w:ind w:left="0" w:leftChars="0" w:firstLine="0" w:firstLineChars="0"/>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评价实施</w:t>
      </w:r>
    </w:p>
    <w:p w14:paraId="68E40810">
      <w:pPr>
        <w:pStyle w:val="2"/>
        <w:numPr>
          <w:ilvl w:val="0"/>
          <w:numId w:val="3"/>
        </w:numP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评价目的</w:t>
      </w:r>
    </w:p>
    <w:p w14:paraId="2824FFEA">
      <w:pPr>
        <w:pStyle w:val="2"/>
        <w:numPr>
          <w:ilvl w:val="0"/>
          <w:numId w:val="0"/>
        </w:numPr>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通过项目绩效评价了解和掌握项目资金使用情况和取得的效果，总结项目管理经验，发现项目管理存在的问题，进一步加强和规范项目资金管理，完善资金管理办法。规范科技计划项目实施，确保项目的顺利开展和研发成效。</w:t>
      </w:r>
    </w:p>
    <w:p w14:paraId="31F4C47F">
      <w:pPr>
        <w:pStyle w:val="2"/>
        <w:numPr>
          <w:ilvl w:val="0"/>
          <w:numId w:val="0"/>
        </w:numPr>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（二）预设问题及评价重点</w:t>
      </w:r>
    </w:p>
    <w:p w14:paraId="611ABD04">
      <w:pPr>
        <w:numPr>
          <w:ilvl w:val="0"/>
          <w:numId w:val="0"/>
        </w:numPr>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对照绩效评价体系指标重点对项目组织管理、试验研究及示范基地建设、科技人员培训、知识产权和人才培养等方面逐项进行考评。</w:t>
      </w:r>
    </w:p>
    <w:p w14:paraId="760103AD">
      <w:pPr>
        <w:pStyle w:val="2"/>
        <w:numPr>
          <w:ilvl w:val="0"/>
          <w:numId w:val="0"/>
        </w:numPr>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（三）评价选点</w:t>
      </w:r>
    </w:p>
    <w:p w14:paraId="64929C50">
      <w:pPr>
        <w:numPr>
          <w:ilvl w:val="0"/>
          <w:numId w:val="0"/>
        </w:numPr>
        <w:rPr>
          <w:rFonts w:hint="default" w:ascii="Times New Roman" w:hAnsi="Times New Roman" w:eastAsia="仿宋_GB2312" w:cs="Times New Roman"/>
          <w:szCs w:val="32"/>
          <w:lang w:val="en-US" w:eastAsia="zh-CN"/>
        </w:rPr>
      </w:pPr>
      <w:r>
        <w:rPr>
          <w:rFonts w:hint="eastAsia"/>
          <w:lang w:val="en-US" w:eastAsia="zh-CN"/>
        </w:rPr>
        <w:t xml:space="preserve">    </w:t>
      </w:r>
      <w:r>
        <w:rPr>
          <w:rFonts w:hint="eastAsia" w:ascii="Times New Roman" w:hAnsi="Times New Roman" w:eastAsia="仿宋_GB2312" w:cs="Times New Roman"/>
          <w:szCs w:val="32"/>
          <w:lang w:val="en-US" w:eastAsia="zh-CN"/>
        </w:rPr>
        <w:t>项目绩效评价健康松林示范林和生物阻隔带现地踏勘抽样点位于理县下孟乡-沙吉村。</w:t>
      </w:r>
    </w:p>
    <w:p w14:paraId="09A77238">
      <w:pPr>
        <w:pStyle w:val="2"/>
        <w:numPr>
          <w:ilvl w:val="0"/>
          <w:numId w:val="0"/>
        </w:numPr>
        <w:rPr>
          <w:rFonts w:hint="eastAsia"/>
          <w:b/>
          <w:bCs/>
          <w:lang w:val="en-US" w:eastAsia="zh-CN"/>
        </w:rPr>
      </w:pPr>
      <w:r>
        <w:rPr>
          <w:rFonts w:hint="eastAsia"/>
          <w:b/>
          <w:bCs/>
          <w:lang w:val="en-US" w:eastAsia="zh-CN"/>
        </w:rPr>
        <w:t>（四）评价方法</w:t>
      </w:r>
    </w:p>
    <w:p w14:paraId="72767884">
      <w:pPr>
        <w:numPr>
          <w:ilvl w:val="0"/>
          <w:numId w:val="0"/>
        </w:numPr>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根据本项目实际情况和评价重点，主要采用案卷研究法、单位自评和实地勘察相结合的方法开展项目绩效评价工作。</w:t>
      </w:r>
    </w:p>
    <w:p w14:paraId="7133D62C">
      <w:pPr>
        <w:pStyle w:val="2"/>
        <w:numPr>
          <w:ilvl w:val="0"/>
          <w:numId w:val="2"/>
        </w:numPr>
        <w:ind w:left="0" w:leftChars="0" w:firstLine="0" w:firstLineChars="0"/>
        <w:rPr>
          <w:rFonts w:hint="eastAsia"/>
          <w:b/>
          <w:bCs/>
          <w:lang w:val="en-US" w:eastAsia="zh-CN"/>
        </w:rPr>
      </w:pPr>
      <w:r>
        <w:rPr>
          <w:rFonts w:hint="eastAsia"/>
          <w:b/>
          <w:bCs/>
          <w:lang w:val="en-US" w:eastAsia="zh-CN"/>
        </w:rPr>
        <w:t>评价组织</w:t>
      </w:r>
    </w:p>
    <w:p w14:paraId="25C8391E">
      <w:pPr>
        <w:numPr>
          <w:ilvl w:val="0"/>
          <w:numId w:val="0"/>
        </w:numPr>
        <w:ind w:leftChars="0" w:firstLine="64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根据阿坝州财政局关于开展2025年度州级部门预算绩效自评工作的通知要求，阿坝州林业和草原科学技术研究所组成了由张利所长任组长，分管领导唐小强任副组长，研究室主任及财务人员参加考评小组。</w:t>
      </w:r>
    </w:p>
    <w:p w14:paraId="52D01A35">
      <w:pPr>
        <w:pStyle w:val="2"/>
        <w:numPr>
          <w:ilvl w:val="0"/>
          <w:numId w:val="1"/>
        </w:numPr>
        <w:ind w:left="0" w:leftChars="0" w:firstLine="0" w:firstLineChars="0"/>
        <w:rPr>
          <w:rFonts w:hint="eastAsia"/>
          <w:b/>
          <w:bCs/>
          <w:lang w:val="en-US" w:eastAsia="zh-CN"/>
        </w:rPr>
      </w:pPr>
      <w:r>
        <w:rPr>
          <w:rFonts w:hint="eastAsia"/>
          <w:b/>
          <w:bCs/>
          <w:lang w:val="en-US" w:eastAsia="zh-CN"/>
        </w:rPr>
        <w:t>绩效分析</w:t>
      </w:r>
    </w:p>
    <w:p w14:paraId="4AA9CD7C">
      <w:pPr>
        <w:keepNext w:val="0"/>
        <w:keepLines w:val="0"/>
        <w:pageBreakBefore w:val="0"/>
        <w:widowControl w:val="0"/>
        <w:kinsoku/>
        <w:wordWrap/>
        <w:overflowPunct/>
        <w:topLinePunct w:val="0"/>
        <w:autoSpaceDE/>
        <w:autoSpaceDN/>
        <w:bidi w:val="0"/>
        <w:adjustRightInd/>
        <w:snapToGrid/>
        <w:spacing w:line="570" w:lineRule="exact"/>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eastAsia="楷体_GB2312" w:cs="Times New Roman"/>
          <w:b/>
          <w:bCs/>
          <w:color w:val="000000"/>
          <w:kern w:val="0"/>
          <w:szCs w:val="32"/>
          <w:highlight w:val="none"/>
          <w:shd w:val="clear" w:color="auto" w:fill="FFFFFF"/>
          <w:lang w:val="zh-CN"/>
        </w:rPr>
        <w:t>，自评得分</w:t>
      </w:r>
      <w:r>
        <w:rPr>
          <w:rFonts w:hint="eastAsia" w:eastAsia="楷体_GB2312" w:cs="Times New Roman"/>
          <w:b/>
          <w:bCs/>
          <w:color w:val="000000"/>
          <w:kern w:val="0"/>
          <w:szCs w:val="32"/>
          <w:highlight w:val="none"/>
          <w:shd w:val="clear" w:color="auto" w:fill="FFFFFF"/>
          <w:lang w:val="en-US" w:eastAsia="zh-CN"/>
        </w:rPr>
        <w:t>51分</w:t>
      </w:r>
      <w:r>
        <w:rPr>
          <w:rFonts w:hint="default" w:ascii="Times New Roman" w:hAnsi="Times New Roman" w:eastAsia="楷体_GB2312" w:cs="Times New Roman"/>
          <w:b/>
          <w:bCs/>
          <w:color w:val="000000"/>
          <w:kern w:val="0"/>
          <w:szCs w:val="32"/>
          <w:highlight w:val="none"/>
          <w:shd w:val="clear" w:color="auto" w:fill="FFFFFF"/>
          <w:lang w:val="zh-CN"/>
        </w:rPr>
        <w:t>。</w:t>
      </w:r>
    </w:p>
    <w:p w14:paraId="08AB8970">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楷体_GB2312" w:hAnsi="楷体_GB2312" w:eastAsia="楷体_GB2312" w:cs="楷体_GB2312"/>
          <w:color w:val="auto"/>
          <w:szCs w:val="32"/>
          <w:lang w:eastAsia="zh-CN"/>
        </w:rPr>
      </w:pPr>
      <w:r>
        <w:rPr>
          <w:rFonts w:hint="eastAsia" w:ascii="楷体_GB2312" w:hAnsi="楷体_GB2312" w:eastAsia="楷体_GB2312" w:cs="楷体_GB2312"/>
          <w:color w:val="auto"/>
          <w:szCs w:val="32"/>
          <w:lang w:val="en-US" w:eastAsia="zh-CN"/>
        </w:rPr>
        <w:t>1.</w:t>
      </w:r>
      <w:r>
        <w:rPr>
          <w:rFonts w:hint="eastAsia" w:ascii="楷体_GB2312" w:hAnsi="楷体_GB2312" w:eastAsia="楷体_GB2312" w:cs="楷体_GB2312"/>
          <w:color w:val="auto"/>
          <w:szCs w:val="32"/>
          <w:lang w:eastAsia="zh-CN"/>
        </w:rPr>
        <w:t>项目决策：自评得分</w:t>
      </w:r>
      <w:r>
        <w:rPr>
          <w:rFonts w:hint="eastAsia" w:ascii="楷体_GB2312" w:hAnsi="楷体_GB2312" w:eastAsia="楷体_GB2312" w:cs="楷体_GB2312"/>
          <w:color w:val="auto"/>
          <w:szCs w:val="32"/>
          <w:lang w:val="en-US" w:eastAsia="zh-CN"/>
        </w:rPr>
        <w:t>18</w:t>
      </w:r>
      <w:r>
        <w:rPr>
          <w:rFonts w:hint="eastAsia" w:eastAsia="楷体_GB2312" w:cs="Times New Roman"/>
          <w:b/>
          <w:bCs/>
          <w:color w:val="000000"/>
          <w:kern w:val="0"/>
          <w:szCs w:val="32"/>
          <w:highlight w:val="none"/>
          <w:shd w:val="clear" w:color="auto" w:fill="FFFFFF"/>
          <w:lang w:val="en-US" w:eastAsia="zh-CN"/>
        </w:rPr>
        <w:t>分</w:t>
      </w:r>
      <w:r>
        <w:rPr>
          <w:rFonts w:hint="eastAsia" w:ascii="楷体_GB2312" w:hAnsi="楷体_GB2312" w:eastAsia="楷体_GB2312" w:cs="楷体_GB2312"/>
          <w:color w:val="auto"/>
          <w:szCs w:val="32"/>
          <w:lang w:eastAsia="zh-CN"/>
        </w:rPr>
        <w:t>。</w:t>
      </w:r>
    </w:p>
    <w:p w14:paraId="20354C43">
      <w:pPr>
        <w:numPr>
          <w:ilvl w:val="0"/>
          <w:numId w:val="0"/>
        </w:numPr>
        <w:ind w:leftChars="0" w:firstLine="64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项目设立、调整延续等方面符合资金管理基本规范和决策程序要求，</w:t>
      </w:r>
      <w:r>
        <w:rPr>
          <w:rFonts w:hint="eastAsia" w:ascii="Calibri" w:hAnsi="Calibri" w:eastAsia="仿宋_GB2312" w:cs="Calibri"/>
          <w:kern w:val="2"/>
          <w:sz w:val="32"/>
          <w:szCs w:val="32"/>
          <w:lang w:val="en-US" w:eastAsia="zh-CN" w:bidi="ar-SA"/>
        </w:rPr>
        <w:t>项目规划符合中央、省委省政府有关决策部署安排，绩效目标科学合理、规范完整、量化细化、预算匹配。</w:t>
      </w:r>
      <w:r>
        <w:rPr>
          <w:rFonts w:hint="eastAsia" w:eastAsia="仿宋_GB2312" w:cs="Calibri"/>
          <w:kern w:val="2"/>
          <w:sz w:val="32"/>
          <w:szCs w:val="32"/>
          <w:lang w:val="en-US" w:eastAsia="zh-CN" w:bidi="ar-SA"/>
        </w:rPr>
        <w:t>资金投向与项目总体规划、相关行业事业发展相匹配，是重点项目，体现“集中财力办大事”原则，避免“撒胡椒面”，未与其他同类项目或部门内部相关项目交叉重复。</w:t>
      </w:r>
    </w:p>
    <w:p w14:paraId="0043CF68">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outlineLvl w:val="9"/>
        <w:rPr>
          <w:rFonts w:hint="eastAsia" w:ascii="楷体_GB2312" w:hAnsi="楷体_GB2312" w:eastAsia="楷体_GB2312" w:cs="楷体_GB2312"/>
          <w:color w:val="auto"/>
          <w:szCs w:val="32"/>
          <w:lang w:eastAsia="zh-CN"/>
        </w:rPr>
      </w:pPr>
      <w:r>
        <w:rPr>
          <w:rFonts w:hint="eastAsia" w:ascii="楷体_GB2312" w:hAnsi="楷体_GB2312" w:eastAsia="楷体_GB2312" w:cs="楷体_GB2312"/>
          <w:color w:val="auto"/>
          <w:szCs w:val="32"/>
          <w:lang w:val="en-US" w:eastAsia="zh-CN"/>
        </w:rPr>
        <w:t>2.</w:t>
      </w:r>
      <w:r>
        <w:rPr>
          <w:rFonts w:hint="eastAsia" w:ascii="楷体_GB2312" w:hAnsi="楷体_GB2312" w:eastAsia="楷体_GB2312" w:cs="楷体_GB2312"/>
          <w:color w:val="auto"/>
          <w:szCs w:val="32"/>
          <w:lang w:eastAsia="zh-CN"/>
        </w:rPr>
        <w:t>项目管理：自评得分</w:t>
      </w:r>
      <w:r>
        <w:rPr>
          <w:rFonts w:hint="eastAsia" w:ascii="楷体_GB2312" w:hAnsi="楷体_GB2312" w:eastAsia="楷体_GB2312" w:cs="楷体_GB2312"/>
          <w:color w:val="auto"/>
          <w:szCs w:val="32"/>
          <w:lang w:val="en-US" w:eastAsia="zh-CN"/>
        </w:rPr>
        <w:t>18</w:t>
      </w:r>
      <w:r>
        <w:rPr>
          <w:rFonts w:hint="eastAsia" w:eastAsia="楷体_GB2312" w:cs="Times New Roman"/>
          <w:b/>
          <w:bCs/>
          <w:color w:val="000000"/>
          <w:kern w:val="0"/>
          <w:szCs w:val="32"/>
          <w:highlight w:val="none"/>
          <w:shd w:val="clear" w:color="auto" w:fill="FFFFFF"/>
          <w:lang w:val="en-US" w:eastAsia="zh-CN"/>
        </w:rPr>
        <w:t>分</w:t>
      </w:r>
      <w:r>
        <w:rPr>
          <w:rFonts w:hint="eastAsia" w:ascii="楷体_GB2312" w:hAnsi="楷体_GB2312" w:eastAsia="楷体_GB2312" w:cs="楷体_GB2312"/>
          <w:color w:val="auto"/>
          <w:szCs w:val="32"/>
          <w:lang w:eastAsia="zh-CN"/>
        </w:rPr>
        <w:t>。</w:t>
      </w:r>
    </w:p>
    <w:p w14:paraId="009DB5B8">
      <w:pPr>
        <w:numPr>
          <w:ilvl w:val="0"/>
          <w:numId w:val="0"/>
        </w:numPr>
        <w:ind w:leftChars="0" w:firstLine="64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项目制度办法体系健全、要素完备。项目资金分配因素选取、权重设置、区域分布，项目管理、审批符合管理要求。管资金、项目、政策管绩效，项目绩效监管按要求开展，对下指导有力有效。</w:t>
      </w:r>
    </w:p>
    <w:p w14:paraId="4AAD2E26">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outlineLvl w:val="9"/>
        <w:rPr>
          <w:rFonts w:hint="eastAsia" w:ascii="楷体_GB2312" w:hAnsi="楷体_GB2312" w:eastAsia="楷体_GB2312" w:cs="楷体_GB2312"/>
          <w:color w:val="auto"/>
          <w:szCs w:val="32"/>
          <w:lang w:val="en-US" w:eastAsia="zh-CN"/>
        </w:rPr>
      </w:pPr>
      <w:r>
        <w:rPr>
          <w:rFonts w:hint="eastAsia" w:ascii="楷体_GB2312" w:hAnsi="楷体_GB2312" w:eastAsia="楷体_GB2312" w:cs="楷体_GB2312"/>
          <w:color w:val="auto"/>
          <w:szCs w:val="32"/>
          <w:lang w:val="en-US" w:eastAsia="zh-CN"/>
        </w:rPr>
        <w:t>3.项目实施：8</w:t>
      </w:r>
      <w:r>
        <w:rPr>
          <w:rFonts w:hint="eastAsia" w:eastAsia="楷体_GB2312" w:cs="Times New Roman"/>
          <w:b/>
          <w:bCs/>
          <w:color w:val="000000"/>
          <w:kern w:val="0"/>
          <w:szCs w:val="32"/>
          <w:highlight w:val="none"/>
          <w:shd w:val="clear" w:color="auto" w:fill="FFFFFF"/>
          <w:lang w:val="en-US" w:eastAsia="zh-CN"/>
        </w:rPr>
        <w:t>分</w:t>
      </w:r>
    </w:p>
    <w:p w14:paraId="5855A96D">
      <w:pPr>
        <w:numPr>
          <w:ilvl w:val="0"/>
          <w:numId w:val="0"/>
        </w:numPr>
        <w:ind w:leftChars="0" w:firstLine="640"/>
        <w:rPr>
          <w:rFonts w:hint="eastAsia" w:ascii="Times New Roman" w:hAnsi="Times New Roman" w:eastAsia="仿宋_GB2312" w:cs="Times New Roman"/>
          <w:szCs w:val="32"/>
          <w:lang w:val="en-US" w:eastAsia="zh-CN"/>
        </w:rPr>
      </w:pPr>
      <w:r>
        <w:rPr>
          <w:rFonts w:hint="eastAsia" w:ascii="Calibri" w:hAnsi="Calibri" w:eastAsia="仿宋_GB2312" w:cs="Calibri"/>
          <w:kern w:val="2"/>
          <w:sz w:val="32"/>
          <w:szCs w:val="32"/>
          <w:lang w:val="en-US" w:eastAsia="zh-CN" w:bidi="ar-SA"/>
        </w:rPr>
        <w:t>项目资金使用、拨付符合国家财经法规、财务管理制度及有关专项资金管理制度办法规定和审批程序，不存在超范围、超标准、超进度使用专项资金，不存在资金损失浪费、长期沉淀、截留、挤占、挪用、虚列支出等情况，项目实施遵守相关法律法规。</w:t>
      </w:r>
    </w:p>
    <w:p w14:paraId="4AA1433B">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outlineLvl w:val="9"/>
        <w:rPr>
          <w:rFonts w:hint="eastAsia" w:ascii="楷体_GB2312" w:hAnsi="楷体_GB2312" w:eastAsia="楷体_GB2312" w:cs="楷体_GB2312"/>
          <w:color w:val="auto"/>
          <w:szCs w:val="32"/>
          <w:lang w:val="en-US" w:eastAsia="zh-CN"/>
        </w:rPr>
      </w:pPr>
      <w:r>
        <w:rPr>
          <w:rFonts w:hint="eastAsia" w:ascii="楷体_GB2312" w:hAnsi="楷体_GB2312" w:eastAsia="楷体_GB2312" w:cs="楷体_GB2312"/>
          <w:color w:val="auto"/>
          <w:szCs w:val="32"/>
          <w:lang w:val="en-US" w:eastAsia="zh-CN"/>
        </w:rPr>
        <w:t>4.项目结果：7</w:t>
      </w:r>
      <w:r>
        <w:rPr>
          <w:rFonts w:hint="eastAsia" w:eastAsia="楷体_GB2312" w:cs="Times New Roman"/>
          <w:b/>
          <w:bCs/>
          <w:color w:val="000000"/>
          <w:kern w:val="0"/>
          <w:szCs w:val="32"/>
          <w:highlight w:val="none"/>
          <w:shd w:val="clear" w:color="auto" w:fill="FFFFFF"/>
          <w:lang w:val="en-US" w:eastAsia="zh-CN"/>
        </w:rPr>
        <w:t>分</w:t>
      </w:r>
      <w:r>
        <w:rPr>
          <w:rFonts w:hint="eastAsia" w:ascii="楷体_GB2312" w:hAnsi="楷体_GB2312" w:eastAsia="楷体_GB2312" w:cs="楷体_GB2312"/>
          <w:color w:val="auto"/>
          <w:szCs w:val="32"/>
          <w:lang w:val="en-US" w:eastAsia="zh-CN"/>
        </w:rPr>
        <w:t>。</w:t>
      </w:r>
    </w:p>
    <w:p w14:paraId="02EBD503">
      <w:pPr>
        <w:numPr>
          <w:ilvl w:val="0"/>
          <w:numId w:val="0"/>
        </w:numPr>
        <w:ind w:leftChars="0" w:firstLine="640"/>
        <w:rPr>
          <w:rFonts w:hint="default" w:ascii="Times New Roman" w:hAnsi="Times New Roman" w:eastAsia="仿宋_GB2312" w:cs="Times New Roman"/>
          <w:szCs w:val="32"/>
          <w:lang w:val="en-US" w:eastAsia="zh-CN"/>
        </w:rPr>
      </w:pPr>
      <w:r>
        <w:rPr>
          <w:rFonts w:hint="eastAsia" w:ascii="Calibri" w:hAnsi="Calibri" w:eastAsia="仿宋_GB2312" w:cs="Calibri"/>
          <w:kern w:val="2"/>
          <w:sz w:val="32"/>
          <w:szCs w:val="32"/>
          <w:lang w:val="en-US" w:eastAsia="zh-CN" w:bidi="ar-SA"/>
        </w:rPr>
        <w:t>项目完成预期目标，实施结果与绩效目标相匹配，</w:t>
      </w:r>
      <w:r>
        <w:rPr>
          <w:rFonts w:hint="eastAsia" w:eastAsia="仿宋_GB2312" w:cs="Calibri"/>
          <w:kern w:val="2"/>
          <w:sz w:val="32"/>
          <w:szCs w:val="32"/>
          <w:lang w:val="en-US" w:eastAsia="zh-CN" w:bidi="ar-SA"/>
        </w:rPr>
        <w:t>项目实际完成时间与计划完成时间相同。</w:t>
      </w:r>
    </w:p>
    <w:p w14:paraId="7EA1B180">
      <w:pPr>
        <w:keepNext w:val="0"/>
        <w:keepLines w:val="0"/>
        <w:pageBreakBefore w:val="0"/>
        <w:widowControl w:val="0"/>
        <w:kinsoku/>
        <w:wordWrap/>
        <w:overflowPunct/>
        <w:topLinePunct w:val="0"/>
        <w:autoSpaceDE/>
        <w:autoSpaceDN/>
        <w:bidi w:val="0"/>
        <w:adjustRightInd/>
        <w:snapToGrid/>
        <w:spacing w:line="570" w:lineRule="exact"/>
        <w:ind w:firstLine="643" w:firstLineChars="200"/>
        <w:textAlignment w:val="auto"/>
        <w:outlineLvl w:val="9"/>
        <w:rPr>
          <w:rFonts w:hint="eastAsia" w:ascii="楷体_GB2312" w:hAnsi="楷体_GB2312" w:eastAsia="楷体_GB2312" w:cs="楷体_GB2312"/>
          <w:color w:val="auto"/>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eastAsia="楷体_GB2312" w:cs="Times New Roman"/>
          <w:b/>
          <w:bCs/>
          <w:color w:val="000000"/>
          <w:kern w:val="0"/>
          <w:szCs w:val="32"/>
          <w:highlight w:val="none"/>
          <w:shd w:val="clear" w:color="auto" w:fill="FFFFFF"/>
          <w:lang w:val="zh-CN"/>
        </w:rPr>
        <w:t>：</w:t>
      </w:r>
      <w:r>
        <w:rPr>
          <w:rFonts w:hint="eastAsia" w:ascii="Calibri" w:hAnsi="Calibri" w:eastAsia="仿宋_GB2312" w:cs="Calibri"/>
          <w:b/>
          <w:bCs/>
          <w:kern w:val="2"/>
          <w:sz w:val="32"/>
          <w:szCs w:val="32"/>
          <w:lang w:val="en-US" w:eastAsia="zh-CN" w:bidi="ar-SA"/>
        </w:rPr>
        <w:t>自评得分22分</w:t>
      </w:r>
      <w:r>
        <w:rPr>
          <w:rFonts w:hint="default" w:ascii="Times New Roman" w:hAnsi="Times New Roman" w:eastAsia="楷体_GB2312" w:cs="Times New Roman"/>
          <w:b/>
          <w:bCs/>
          <w:color w:val="000000"/>
          <w:kern w:val="0"/>
          <w:szCs w:val="32"/>
          <w:highlight w:val="none"/>
          <w:shd w:val="clear" w:color="auto" w:fill="FFFFFF"/>
          <w:lang w:val="zh-CN"/>
        </w:rPr>
        <w:t>。</w:t>
      </w:r>
    </w:p>
    <w:p w14:paraId="7D4E31FA">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eastAsia" w:ascii="Calibri" w:hAnsi="Calibri" w:eastAsia="仿宋_GB2312" w:cs="Calibri"/>
          <w:kern w:val="2"/>
          <w:sz w:val="32"/>
          <w:szCs w:val="32"/>
          <w:lang w:val="en-US" w:eastAsia="zh-CN" w:bidi="ar-SA"/>
        </w:rPr>
      </w:pPr>
      <w:r>
        <w:rPr>
          <w:rFonts w:hint="eastAsia" w:ascii="楷体_GB2312" w:hAnsi="楷体_GB2312" w:eastAsia="楷体_GB2312" w:cs="楷体_GB2312"/>
          <w:color w:val="auto"/>
          <w:szCs w:val="32"/>
          <w:lang w:val="en-US" w:eastAsia="zh-CN"/>
        </w:rPr>
        <w:t>1.</w:t>
      </w:r>
      <w:r>
        <w:rPr>
          <w:rFonts w:hint="eastAsia" w:ascii="楷体_GB2312" w:hAnsi="楷体_GB2312" w:eastAsia="楷体_GB2312" w:cs="楷体_GB2312"/>
          <w:color w:val="auto"/>
          <w:szCs w:val="32"/>
          <w:lang w:val="zh-CN" w:eastAsia="zh-CN"/>
        </w:rPr>
        <w:t>民生保障。</w:t>
      </w:r>
      <w:r>
        <w:rPr>
          <w:rFonts w:hint="eastAsia" w:ascii="Calibri" w:hAnsi="Calibri" w:eastAsia="仿宋_GB2312" w:cs="Calibri"/>
          <w:kern w:val="2"/>
          <w:sz w:val="32"/>
          <w:szCs w:val="32"/>
          <w:lang w:val="en-US" w:eastAsia="zh-CN" w:bidi="ar-SA"/>
        </w:rPr>
        <w:t>项目资金分配体现均衡公平。资金实际支持对象符合管理要求，符合支持对象范围。资金实际补贴标准符合资金管理办法规定的补助标准，及时按标准兑现。资金涉及相关受益群体、支持对象的满意。</w:t>
      </w:r>
    </w:p>
    <w:p w14:paraId="091A8C90">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eastAsia="楷体_GB2312" w:cs="Times New Roman"/>
          <w:b/>
          <w:bCs/>
          <w:color w:val="000000"/>
          <w:kern w:val="0"/>
          <w:szCs w:val="32"/>
          <w:highlight w:val="none"/>
          <w:shd w:val="clear" w:color="auto" w:fill="FFFFFF"/>
          <w:lang w:val="zh-CN"/>
        </w:rPr>
        <w:t>：</w:t>
      </w:r>
      <w:r>
        <w:rPr>
          <w:rFonts w:hint="eastAsia" w:ascii="Calibri" w:hAnsi="Calibri" w:eastAsia="仿宋_GB2312" w:cs="Calibri"/>
          <w:b/>
          <w:bCs/>
          <w:kern w:val="2"/>
          <w:sz w:val="32"/>
          <w:szCs w:val="32"/>
          <w:lang w:val="en-US" w:eastAsia="zh-CN" w:bidi="ar-SA"/>
        </w:rPr>
        <w:t>自评得分</w:t>
      </w:r>
      <w:r>
        <w:rPr>
          <w:rFonts w:hint="eastAsia" w:ascii="Calibri" w:hAnsi="Calibri" w:cs="Calibri"/>
          <w:b/>
          <w:bCs/>
          <w:kern w:val="2"/>
          <w:sz w:val="32"/>
          <w:szCs w:val="32"/>
          <w:lang w:val="en-US" w:eastAsia="zh-CN" w:bidi="ar-SA"/>
        </w:rPr>
        <w:t>15</w:t>
      </w:r>
      <w:r>
        <w:rPr>
          <w:rFonts w:hint="eastAsia" w:ascii="Calibri" w:hAnsi="Calibri" w:eastAsia="仿宋_GB2312" w:cs="Calibri"/>
          <w:b/>
          <w:bCs/>
          <w:kern w:val="2"/>
          <w:sz w:val="32"/>
          <w:szCs w:val="32"/>
          <w:lang w:val="en-US" w:eastAsia="zh-CN" w:bidi="ar-SA"/>
        </w:rPr>
        <w:t>分</w:t>
      </w:r>
      <w:r>
        <w:rPr>
          <w:rFonts w:hint="default" w:ascii="Times New Roman" w:hAnsi="Times New Roman" w:eastAsia="楷体_GB2312" w:cs="Times New Roman"/>
          <w:b/>
          <w:bCs/>
          <w:color w:val="000000"/>
          <w:kern w:val="0"/>
          <w:szCs w:val="32"/>
          <w:highlight w:val="none"/>
          <w:shd w:val="clear" w:color="auto" w:fill="FFFFFF"/>
          <w:lang w:val="zh-CN"/>
        </w:rPr>
        <w:t>。</w:t>
      </w:r>
    </w:p>
    <w:p w14:paraId="27FC1B5E">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9"/>
        <w:rPr>
          <w:rFonts w:hint="default" w:ascii="Calibri" w:hAnsi="Calibri" w:eastAsia="仿宋_GB2312" w:cs="Calibri"/>
          <w:kern w:val="2"/>
          <w:sz w:val="32"/>
          <w:szCs w:val="32"/>
          <w:lang w:val="en-US" w:eastAsia="zh-CN" w:bidi="ar-SA"/>
        </w:rPr>
      </w:pPr>
      <w:r>
        <w:rPr>
          <w:rFonts w:hint="eastAsia" w:ascii="Calibri" w:hAnsi="Calibri" w:eastAsia="仿宋_GB2312" w:cs="Calibri"/>
          <w:kern w:val="2"/>
          <w:sz w:val="32"/>
          <w:szCs w:val="32"/>
          <w:lang w:val="en-US" w:eastAsia="zh-CN" w:bidi="ar-SA"/>
        </w:rPr>
        <w:t>按时</w:t>
      </w:r>
      <w:r>
        <w:rPr>
          <w:rFonts w:hint="eastAsia" w:ascii="Calibri" w:hAnsi="Calibri" w:eastAsia="仿宋_GB2312" w:cs="Calibri"/>
          <w:kern w:val="2"/>
          <w:sz w:val="32"/>
          <w:szCs w:val="32"/>
          <w:lang w:val="zh-CN" w:eastAsia="zh-CN" w:bidi="ar-SA"/>
        </w:rPr>
        <w:t>任务下达、合同签订、年度报告</w:t>
      </w:r>
      <w:r>
        <w:rPr>
          <w:rFonts w:hint="eastAsia" w:ascii="Calibri" w:hAnsi="Calibri" w:eastAsia="仿宋_GB2312" w:cs="Calibri"/>
          <w:kern w:val="2"/>
          <w:sz w:val="32"/>
          <w:szCs w:val="32"/>
          <w:lang w:val="en-US" w:eastAsia="zh-CN" w:bidi="ar-SA"/>
        </w:rPr>
        <w:t>及时上报</w:t>
      </w:r>
      <w:r>
        <w:rPr>
          <w:rFonts w:hint="eastAsia" w:ascii="Calibri" w:hAnsi="Calibri" w:eastAsia="仿宋_GB2312" w:cs="Calibri"/>
          <w:kern w:val="2"/>
          <w:sz w:val="32"/>
          <w:szCs w:val="32"/>
          <w:lang w:val="zh-CN" w:eastAsia="zh-CN" w:bidi="ar-SA"/>
        </w:rPr>
        <w:t>。认真开展辖区内松材线虫病的预测预报工作，科学分析监测数据。</w:t>
      </w:r>
    </w:p>
    <w:p w14:paraId="500D8B34">
      <w:pPr>
        <w:pStyle w:val="2"/>
        <w:numPr>
          <w:ilvl w:val="0"/>
          <w:numId w:val="1"/>
        </w:numPr>
        <w:ind w:left="0" w:leftChars="0" w:firstLine="0" w:firstLineChars="0"/>
        <w:rPr>
          <w:rFonts w:hint="default"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评价结论</w:t>
      </w:r>
    </w:p>
    <w:p w14:paraId="2C20AC3B">
      <w:pPr>
        <w:numPr>
          <w:ilvl w:val="0"/>
          <w:numId w:val="0"/>
        </w:numPr>
        <w:tabs>
          <w:tab w:val="left" w:pos="5010"/>
        </w:tabs>
        <w:spacing w:line="570" w:lineRule="exact"/>
        <w:ind w:firstLine="640" w:firstLineChars="200"/>
        <w:rPr>
          <w:rFonts w:hint="default" w:ascii="Times New Roman" w:hAnsi="Times New Roman" w:eastAsia="仿宋_GB2312" w:cs="Times New Roman"/>
          <w:szCs w:val="32"/>
          <w:lang w:val="en-US" w:eastAsia="zh-CN"/>
        </w:rPr>
      </w:pPr>
      <w:r>
        <w:rPr>
          <w:rFonts w:hint="eastAsia" w:ascii="Times New Roman" w:hAnsi="Times New Roman" w:eastAsia="仿宋_GB2312" w:cs="Times New Roman"/>
          <w:kern w:val="2"/>
          <w:sz w:val="32"/>
          <w:szCs w:val="32"/>
          <w:lang w:val="en-US" w:eastAsia="zh-CN" w:bidi="ar-SA"/>
        </w:rPr>
        <w:t>阿坝州是国家重要生态屏障，在国家构建“两屏三带”生态安全格局中，是青藏高原生态屏障的重要组成部分。州内松林资源树种单一，生态系统稳定性与抗逆性较弱，并且随着旅游开发与经济发展，物流与人员来往显著提升，导致松材线虫病传播风险较高，防控形势严峻。为此阿坝州林草所于2023年4月起</w:t>
      </w:r>
      <w:r>
        <w:rPr>
          <w:rFonts w:hint="eastAsia" w:ascii="Times New Roman" w:hAnsi="Times New Roman" w:eastAsia="仿宋_GB2312" w:cs="Times New Roman"/>
          <w:szCs w:val="32"/>
          <w:lang w:val="en-US" w:eastAsia="zh-CN"/>
        </w:rPr>
        <w:t>实施“阿坝州松材线虫病监测体系建设及健康经营技术研究与示范项目”。根据阿坝州财政局关于开展2025年度州级部门预算绩效自评工作的通知要求，阿坝州林业和草原科学技术研究所成立了专项资金绩效自评小组，对照绩效评价体系重点对项目组织管理、体系改革与建设、健康松林生态系统管理示范基地建设、技术人员培训、知识产权及人才培养等方面逐项进行考评，自评结果得88分。</w:t>
      </w:r>
    </w:p>
    <w:p w14:paraId="33EE5C2B">
      <w:pPr>
        <w:numPr>
          <w:ilvl w:val="0"/>
          <w:numId w:val="0"/>
        </w:numPr>
        <w:tabs>
          <w:tab w:val="left" w:pos="5010"/>
        </w:tabs>
        <w:spacing w:line="570" w:lineRule="exact"/>
        <w:ind w:firstLine="960" w:firstLineChars="3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项目组签订任务书后，按照任务书要求的目标任务和考核指标，查阅国内外有关松材线虫病的研究文献资料，收集了阿坝州松林现有数据资料，并在野外踏查的基础上，召开项目组工作会议，落实项目任务分工和制定了项目实施方案。已建立健康松林生态系统管理示范林理县53亩、九寨沟54亩。已建立物阻隔带理县5.2公里、九寨沟5.6公里。全面落实各项试验方案，开展了各项试验研究的基础资料和信息收集。理县、九寨沟建立松材线虫病智能监测网络体系各1套正在建立和完善，通过技术交流和培训，在阿坝州已初步建立一支松材线虫病早期诊断和检测专业队伍，目前正进一步加强实际操作培训。授权发明专利1项；发表论文2篇，人才培养，职称晋升正高级1人、中级1人。已完成技术培训2期，培训技术人员115人次，发放培训资料560份；资金管理规范，项目经费做到独立建账，专款专用，合理开支，确保了项目资金规范合理使用。</w:t>
      </w:r>
    </w:p>
    <w:p w14:paraId="6220C05B">
      <w:pPr>
        <w:numPr>
          <w:ilvl w:val="0"/>
          <w:numId w:val="0"/>
        </w:numPr>
        <w:rPr>
          <w:rFonts w:hint="eastAsia" w:ascii="Times New Roman" w:hAnsi="Times New Roman" w:eastAsia="仿宋_GB2312" w:cs="Times New Roman"/>
          <w:b/>
          <w:bCs/>
          <w:szCs w:val="32"/>
          <w:lang w:val="en-US" w:eastAsia="zh-CN"/>
        </w:rPr>
      </w:pPr>
      <w:r>
        <w:rPr>
          <w:rFonts w:hint="eastAsia" w:ascii="Times New Roman" w:hAnsi="Times New Roman" w:eastAsia="仿宋_GB2312" w:cs="Times New Roman"/>
          <w:b/>
          <w:bCs/>
          <w:szCs w:val="32"/>
          <w:lang w:val="en-US" w:eastAsia="zh-CN"/>
        </w:rPr>
        <w:t>（1）各项试验研究有序推进</w:t>
      </w:r>
    </w:p>
    <w:p w14:paraId="58A34DBE">
      <w:pPr>
        <w:pStyle w:val="2"/>
        <w:numPr>
          <w:ilvl w:val="0"/>
          <w:numId w:val="0"/>
        </w:numPr>
        <w:ind w:firstLine="640"/>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①</w:t>
      </w:r>
      <w:r>
        <w:rPr>
          <w:rFonts w:hint="eastAsia" w:ascii="Times New Roman" w:hAnsi="Times New Roman" w:eastAsia="仿宋_GB2312" w:cs="Times New Roman"/>
          <w:kern w:val="2"/>
          <w:sz w:val="32"/>
          <w:szCs w:val="32"/>
          <w:lang w:val="en-US" w:eastAsia="zh-CN" w:bidi="ar-SA"/>
        </w:rPr>
        <w:t>分别在理县、九寨沟高风险区域的重要生态区松林注射松树免疫剂防止松材线虫病传入和危害。注射剂为杭州益森健生物科技有限公司生产的“松线静”注射剂。</w:t>
      </w:r>
    </w:p>
    <w:p w14:paraId="6AED6C08">
      <w:pPr>
        <w:ind w:firstLine="640"/>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②</w:t>
      </w:r>
      <w:r>
        <w:rPr>
          <w:rFonts w:hint="eastAsia" w:ascii="Times New Roman" w:hAnsi="Times New Roman" w:eastAsia="仿宋_GB2312" w:cs="Times New Roman"/>
          <w:kern w:val="2"/>
          <w:sz w:val="32"/>
          <w:szCs w:val="32"/>
          <w:lang w:val="en-US" w:eastAsia="zh-CN" w:bidi="ar-SA"/>
        </w:rPr>
        <w:t>在理县、九寨沟应用无人机低空遥感监测技术对松材线虫病开展早期诊断技术试验，通过影像分析从而建立松材线虫病早期预警系统。</w:t>
      </w:r>
    </w:p>
    <w:p w14:paraId="4EDFB998">
      <w:pPr>
        <w:pStyle w:val="2"/>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w:t>
      </w:r>
      <w:r>
        <w:rPr>
          <w:rFonts w:hint="default" w:ascii="Times New Roman" w:hAnsi="Times New Roman" w:eastAsia="仿宋_GB2312" w:cs="Times New Roman"/>
          <w:kern w:val="2"/>
          <w:sz w:val="32"/>
          <w:szCs w:val="32"/>
          <w:lang w:val="en-US" w:eastAsia="zh-CN" w:bidi="ar-SA"/>
        </w:rPr>
        <w:t>③</w:t>
      </w:r>
      <w:r>
        <w:rPr>
          <w:rFonts w:hint="eastAsia" w:ascii="Times New Roman" w:hAnsi="Times New Roman" w:eastAsia="仿宋_GB2312" w:cs="Times New Roman"/>
          <w:kern w:val="2"/>
          <w:sz w:val="32"/>
          <w:szCs w:val="32"/>
          <w:lang w:val="en-US" w:eastAsia="zh-CN" w:bidi="ar-SA"/>
        </w:rPr>
        <w:t>应用理县、九寨沟县林草局森林防火办的森林火灾监测的高清探头定期收集监测点附近松林高清影像资料，然后应用卷积神径网络人工智能算法对影像资料中的松林健康情况进行实时动态监测。</w:t>
      </w:r>
    </w:p>
    <w:p w14:paraId="5E921C46">
      <w:pPr>
        <w:numPr>
          <w:ilvl w:val="0"/>
          <w:numId w:val="0"/>
        </w:numPr>
        <w:ind w:leftChars="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（2）积极申报专利、发表论文</w:t>
      </w:r>
    </w:p>
    <w:p w14:paraId="7E6C5F89">
      <w:pPr>
        <w:numPr>
          <w:ilvl w:val="0"/>
          <w:numId w:val="0"/>
        </w:numPr>
        <w:tabs>
          <w:tab w:val="left" w:pos="5010"/>
        </w:tabs>
        <w:spacing w:line="570" w:lineRule="exact"/>
        <w:ind w:firstLine="321" w:firstLineChars="100"/>
        <w:rPr>
          <w:rFonts w:hint="eastAsia" w:ascii="Times New Roman" w:hAnsi="Times New Roman" w:eastAsia="仿宋_GB2312" w:cs="Times New Roman"/>
          <w:b/>
          <w:bCs/>
          <w:szCs w:val="32"/>
          <w:lang w:val="en-US" w:eastAsia="zh-CN"/>
        </w:rPr>
      </w:pPr>
      <w:r>
        <w:rPr>
          <w:rFonts w:hint="default" w:ascii="Times New Roman" w:hAnsi="Times New Roman" w:eastAsia="仿宋_GB2312" w:cs="Times New Roman"/>
          <w:b/>
          <w:bCs/>
          <w:szCs w:val="32"/>
          <w:lang w:val="en-US" w:eastAsia="zh-CN"/>
        </w:rPr>
        <w:t>①</w:t>
      </w:r>
      <w:r>
        <w:rPr>
          <w:rFonts w:hint="eastAsia" w:ascii="Times New Roman" w:hAnsi="Times New Roman" w:eastAsia="仿宋_GB2312" w:cs="Times New Roman"/>
          <w:b/>
          <w:bCs/>
          <w:szCs w:val="32"/>
          <w:lang w:val="en-US" w:eastAsia="zh-CN"/>
        </w:rPr>
        <w:t>专利</w:t>
      </w:r>
    </w:p>
    <w:p w14:paraId="09934FB8">
      <w:pPr>
        <w:numPr>
          <w:ilvl w:val="0"/>
          <w:numId w:val="0"/>
        </w:numPr>
        <w:tabs>
          <w:tab w:val="left" w:pos="5010"/>
        </w:tabs>
        <w:spacing w:line="570" w:lineRule="exact"/>
        <w:rPr>
          <w:rFonts w:hint="default"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 xml:space="preserve">   目前已授权利发明专利1项，发明专利名称：“基于遥感监测的松材线虫病识别系统及方法”，专利编号:ZL 2024 1 0117356.7。专利授权公告:22024年03月29日。专利权人：阿坝州林业和草原科学技术研究所、浙江省林业科学研究院。</w:t>
      </w:r>
    </w:p>
    <w:p w14:paraId="7C08EB1A">
      <w:pPr>
        <w:numPr>
          <w:ilvl w:val="0"/>
          <w:numId w:val="0"/>
        </w:numPr>
        <w:tabs>
          <w:tab w:val="left" w:pos="5010"/>
        </w:tabs>
        <w:spacing w:line="570" w:lineRule="exact"/>
        <w:ind w:firstLine="321" w:firstLineChars="100"/>
        <w:rPr>
          <w:rFonts w:hint="eastAsia" w:ascii="Times New Roman" w:hAnsi="Times New Roman" w:eastAsia="仿宋_GB2312" w:cs="Times New Roman"/>
          <w:b/>
          <w:bCs/>
          <w:szCs w:val="32"/>
          <w:lang w:val="en-US" w:eastAsia="zh-CN"/>
        </w:rPr>
      </w:pPr>
      <w:r>
        <w:rPr>
          <w:rFonts w:hint="default" w:ascii="Calibri" w:hAnsi="Calibri" w:eastAsia="仿宋_GB2312" w:cs="Calibri"/>
          <w:b/>
          <w:bCs/>
          <w:szCs w:val="32"/>
          <w:lang w:val="en-US" w:eastAsia="zh-CN"/>
        </w:rPr>
        <w:t>②</w:t>
      </w:r>
      <w:r>
        <w:rPr>
          <w:rFonts w:hint="eastAsia" w:ascii="Times New Roman" w:hAnsi="Times New Roman" w:eastAsia="仿宋_GB2312" w:cs="Times New Roman"/>
          <w:b/>
          <w:bCs/>
          <w:szCs w:val="32"/>
          <w:lang w:val="en-US" w:eastAsia="zh-CN"/>
        </w:rPr>
        <w:t>论文</w:t>
      </w:r>
    </w:p>
    <w:p w14:paraId="329EF92A">
      <w:pPr>
        <w:pStyle w:val="2"/>
        <w:numPr>
          <w:ilvl w:val="0"/>
          <w:numId w:val="0"/>
        </w:numPr>
        <w:ind w:leftChars="0"/>
        <w:rPr>
          <w:rFonts w:hint="default"/>
          <w:lang w:val="en-US" w:eastAsia="zh-CN"/>
        </w:rPr>
      </w:pP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lang w:val="en-US" w:eastAsia="zh-CN"/>
        </w:rPr>
        <w:t>①</w:t>
      </w:r>
      <w:r>
        <w:rPr>
          <w:rFonts w:hint="eastAsia" w:ascii="Times New Roman" w:hAnsi="Times New Roman" w:eastAsia="仿宋_GB2312" w:cs="Times New Roman"/>
          <w:szCs w:val="32"/>
          <w:lang w:val="en-US" w:eastAsia="zh-CN"/>
        </w:rPr>
        <w:t xml:space="preserve"> </w:t>
      </w:r>
      <w:r>
        <w:rPr>
          <w:rFonts w:hint="eastAsia" w:ascii="仿宋_GB2312" w:hAnsi="仿宋_GB2312" w:eastAsia="仿宋_GB2312" w:cs="仿宋_GB2312"/>
          <w:sz w:val="32"/>
          <w:szCs w:val="32"/>
          <w:lang w:val="en-US" w:eastAsia="zh-CN"/>
        </w:rPr>
        <w:t>“松材线虫病潜伏浸染规律初探”《植物检疫》，2024年第5期。</w:t>
      </w:r>
    </w:p>
    <w:p w14:paraId="3F603AB2">
      <w:pPr>
        <w:pStyle w:val="2"/>
        <w:numPr>
          <w:ilvl w:val="0"/>
          <w:numId w:val="0"/>
        </w:numPr>
        <w:ind w:leftChars="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（3）加强人才培养</w:t>
      </w:r>
    </w:p>
    <w:p w14:paraId="67060765">
      <w:pPr>
        <w:numPr>
          <w:ilvl w:val="0"/>
          <w:numId w:val="0"/>
        </w:numPr>
        <w:tabs>
          <w:tab w:val="left" w:pos="5010"/>
        </w:tabs>
        <w:spacing w:line="570" w:lineRule="exact"/>
        <w:ind w:firstLine="640" w:firstLineChars="200"/>
        <w:rPr>
          <w:rFonts w:hint="default"/>
          <w:lang w:val="en-US" w:eastAsia="zh-CN"/>
        </w:rPr>
      </w:pPr>
      <w:r>
        <w:rPr>
          <w:rFonts w:hint="eastAsia" w:ascii="Times New Roman" w:hAnsi="Times New Roman" w:eastAsia="仿宋_GB2312" w:cs="Times New Roman"/>
          <w:szCs w:val="32"/>
          <w:lang w:val="en-US" w:eastAsia="zh-CN"/>
        </w:rPr>
        <w:t>通过理论与实践相结合进行人才培养，项目组安排专业技术人员参与到项目研究工作中，从而提高他们实际操作能力。 2023年—2024年项目共培养专业技术人员2名，一人晋升为正高级、1人晋升为中级。</w:t>
      </w:r>
    </w:p>
    <w:p w14:paraId="1FA53F91">
      <w:pPr>
        <w:pStyle w:val="2"/>
        <w:numPr>
          <w:ilvl w:val="0"/>
          <w:numId w:val="0"/>
        </w:numP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（4）严格项目管理</w:t>
      </w:r>
    </w:p>
    <w:p w14:paraId="67BBBB27">
      <w:pPr>
        <w:numPr>
          <w:ilvl w:val="0"/>
          <w:numId w:val="0"/>
        </w:numPr>
        <w:tabs>
          <w:tab w:val="left" w:pos="5010"/>
        </w:tabs>
        <w:spacing w:line="570" w:lineRule="exact"/>
        <w:ind w:firstLine="640" w:firstLineChars="2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阿坝州林草所按照项目计划任务书高标准严要求的开展项目建设。</w:t>
      </w:r>
    </w:p>
    <w:p w14:paraId="5261C0B3">
      <w:pPr>
        <w:numPr>
          <w:ilvl w:val="0"/>
          <w:numId w:val="0"/>
        </w:numPr>
        <w:tabs>
          <w:tab w:val="left" w:pos="5010"/>
        </w:tabs>
        <w:spacing w:line="570" w:lineRule="exact"/>
        <w:ind w:firstLine="320" w:firstLineChars="1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lang w:val="en-US" w:eastAsia="zh-CN"/>
        </w:rPr>
        <w:t>①</w:t>
      </w:r>
      <w:r>
        <w:rPr>
          <w:rFonts w:hint="eastAsia" w:ascii="Times New Roman" w:hAnsi="Times New Roman" w:eastAsia="仿宋_GB2312" w:cs="Times New Roman"/>
          <w:szCs w:val="32"/>
          <w:lang w:val="en-US" w:eastAsia="zh-CN"/>
        </w:rPr>
        <w:t>资金管理。在资金使用上实行“专人、专账”，确保资金使用规范公开，杜绝滞留挪用以及虚报冒领导、铺张浪费。</w:t>
      </w:r>
    </w:p>
    <w:p w14:paraId="751AA5A3">
      <w:pPr>
        <w:numPr>
          <w:ilvl w:val="0"/>
          <w:numId w:val="0"/>
        </w:numPr>
        <w:tabs>
          <w:tab w:val="left" w:pos="5010"/>
        </w:tabs>
        <w:spacing w:line="570" w:lineRule="exact"/>
        <w:ind w:firstLine="320" w:firstLineChars="100"/>
        <w:rPr>
          <w:rFonts w:hint="eastAsia" w:ascii="Times New Roman" w:hAnsi="Times New Roman" w:eastAsia="仿宋_GB2312" w:cs="Times New Roman"/>
          <w:szCs w:val="32"/>
          <w:lang w:val="en-US" w:eastAsia="zh-CN"/>
        </w:rPr>
      </w:pP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lang w:val="en-US" w:eastAsia="zh-CN"/>
        </w:rPr>
        <w:t>②</w:t>
      </w:r>
      <w:r>
        <w:rPr>
          <w:rFonts w:hint="eastAsia" w:ascii="Times New Roman" w:hAnsi="Times New Roman" w:eastAsia="仿宋_GB2312" w:cs="Times New Roman"/>
          <w:szCs w:val="32"/>
          <w:lang w:val="en-US" w:eastAsia="zh-CN"/>
        </w:rPr>
        <w:t>资料管理。项目开展后，我们十分重视项目资料收集与整理，明确了专门的档案管理员。</w:t>
      </w:r>
    </w:p>
    <w:p w14:paraId="41DBE1A1">
      <w:pPr>
        <w:numPr>
          <w:ilvl w:val="0"/>
          <w:numId w:val="0"/>
        </w:numPr>
        <w:tabs>
          <w:tab w:val="left" w:pos="5010"/>
        </w:tabs>
        <w:spacing w:line="570" w:lineRule="exact"/>
        <w:ind w:firstLine="640" w:firstLineChars="200"/>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lang w:val="en-US" w:eastAsia="zh-CN"/>
        </w:rPr>
        <w:t>③</w:t>
      </w:r>
      <w:r>
        <w:rPr>
          <w:rFonts w:hint="eastAsia" w:ascii="Times New Roman" w:hAnsi="Times New Roman" w:eastAsia="仿宋_GB2312" w:cs="Times New Roman"/>
          <w:szCs w:val="32"/>
          <w:lang w:val="en-US" w:eastAsia="zh-CN"/>
        </w:rPr>
        <w:t>组织管事。自项目开展以来，成立了项目实施工作领导小组，落实了所长总负责，分管所长具体负责，各项工作有专人负责，成立了技术攻关小组、资金管理小组、档案管理小组。</w:t>
      </w:r>
    </w:p>
    <w:p w14:paraId="32E9BBE7">
      <w:pPr>
        <w:pStyle w:val="2"/>
        <w:numPr>
          <w:ilvl w:val="0"/>
          <w:numId w:val="0"/>
        </w:numPr>
        <w:rPr>
          <w:rFonts w:hint="eastAsia"/>
          <w:b/>
          <w:bCs/>
          <w:lang w:val="en-US" w:eastAsia="zh-CN"/>
        </w:rPr>
      </w:pPr>
      <w:r>
        <w:rPr>
          <w:rFonts w:hint="eastAsia"/>
          <w:b/>
          <w:bCs/>
          <w:lang w:val="en-US" w:eastAsia="zh-CN"/>
        </w:rPr>
        <w:t>五、存在主要问题</w:t>
      </w:r>
    </w:p>
    <w:p w14:paraId="77337C0A">
      <w:pPr>
        <w:rPr>
          <w:rFonts w:hint="default" w:ascii="Times New Roman" w:hAnsi="Times New Roman" w:eastAsia="仿宋_GB2312" w:cs="Times New Roman"/>
          <w:szCs w:val="32"/>
          <w:lang w:val="en-US" w:eastAsia="zh-CN"/>
        </w:rPr>
      </w:pPr>
      <w:r>
        <w:rPr>
          <w:rFonts w:hint="eastAsia"/>
          <w:b/>
          <w:bCs/>
          <w:lang w:val="en-US" w:eastAsia="zh-CN"/>
        </w:rPr>
        <w:t xml:space="preserve">  </w:t>
      </w:r>
      <w:r>
        <w:rPr>
          <w:rFonts w:hint="eastAsia"/>
          <w:b w:val="0"/>
          <w:bCs w:val="0"/>
          <w:lang w:val="en-US" w:eastAsia="zh-CN"/>
        </w:rPr>
        <w:t xml:space="preserve"> </w:t>
      </w:r>
      <w:r>
        <w:rPr>
          <w:rFonts w:hint="eastAsia" w:ascii="Times New Roman" w:hAnsi="Times New Roman" w:eastAsia="仿宋_GB2312" w:cs="Times New Roman"/>
          <w:szCs w:val="32"/>
          <w:lang w:val="en-US" w:eastAsia="zh-CN"/>
        </w:rPr>
        <w:t>项目组按项目实施方案有序推进各项试验研究工作，由于项目许多试验数据的测试分析需要在2025年进行，所以2024年资金使用较缓。</w:t>
      </w:r>
    </w:p>
    <w:p w14:paraId="6510284E">
      <w:pPr>
        <w:rPr>
          <w:rFonts w:hint="default"/>
          <w:b/>
          <w:bCs/>
          <w:lang w:val="en-US" w:eastAsia="zh-CN"/>
        </w:rPr>
      </w:pPr>
      <w:r>
        <w:rPr>
          <w:rFonts w:hint="eastAsia"/>
          <w:b/>
          <w:bCs/>
          <w:lang w:val="en-US" w:eastAsia="zh-CN"/>
        </w:rPr>
        <w:t>六、改进建议</w:t>
      </w:r>
    </w:p>
    <w:p w14:paraId="76E79F26">
      <w:pPr>
        <w:pStyle w:val="2"/>
        <w:rPr>
          <w:rFonts w:hint="default" w:ascii="Times New Roman" w:hAnsi="Times New Roman" w:eastAsia="仿宋_GB2312" w:cs="Times New Roman"/>
          <w:kern w:val="2"/>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kern w:val="2"/>
          <w:sz w:val="32"/>
          <w:szCs w:val="32"/>
          <w:lang w:val="en-US" w:eastAsia="zh-CN" w:bidi="ar-SA"/>
        </w:rPr>
        <w:t xml:space="preserve"> 项目组坚决克服困难，加快推进项目的各项试验研究工作，保质保量完成绩效目标，力争2025年资金使用率达90%以上。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77930"/>
    <w:multiLevelType w:val="singleLevel"/>
    <w:tmpl w:val="21677930"/>
    <w:lvl w:ilvl="0" w:tentative="0">
      <w:start w:val="1"/>
      <w:numFmt w:val="chineseCounting"/>
      <w:suff w:val="nothing"/>
      <w:lvlText w:val="%1、"/>
      <w:lvlJc w:val="left"/>
      <w:rPr>
        <w:rFonts w:hint="eastAsia"/>
      </w:rPr>
    </w:lvl>
  </w:abstractNum>
  <w:abstractNum w:abstractNumId="1">
    <w:nsid w:val="39FDE2A4"/>
    <w:multiLevelType w:val="singleLevel"/>
    <w:tmpl w:val="39FDE2A4"/>
    <w:lvl w:ilvl="0" w:tentative="0">
      <w:start w:val="1"/>
      <w:numFmt w:val="chineseCounting"/>
      <w:suff w:val="nothing"/>
      <w:lvlText w:val="（%1）"/>
      <w:lvlJc w:val="left"/>
      <w:rPr>
        <w:rFonts w:hint="eastAsia"/>
      </w:rPr>
    </w:lvl>
  </w:abstractNum>
  <w:abstractNum w:abstractNumId="2">
    <w:nsid w:val="62C4A464"/>
    <w:multiLevelType w:val="singleLevel"/>
    <w:tmpl w:val="62C4A464"/>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WQ5ODE0NjQ1YjFjMDdmNzhjMDliNTI2MzJjZTAifQ=="/>
  </w:docVars>
  <w:rsids>
    <w:rsidRoot w:val="00000000"/>
    <w:rsid w:val="03EB00B4"/>
    <w:rsid w:val="04494239"/>
    <w:rsid w:val="058623ED"/>
    <w:rsid w:val="06604855"/>
    <w:rsid w:val="086E30BE"/>
    <w:rsid w:val="0D7774BC"/>
    <w:rsid w:val="0E715E42"/>
    <w:rsid w:val="0F9067A2"/>
    <w:rsid w:val="120F683F"/>
    <w:rsid w:val="12606EA9"/>
    <w:rsid w:val="14C54EA4"/>
    <w:rsid w:val="14FF05AD"/>
    <w:rsid w:val="15372ADC"/>
    <w:rsid w:val="15EF3CCE"/>
    <w:rsid w:val="17A45690"/>
    <w:rsid w:val="1B4436B1"/>
    <w:rsid w:val="1BE216CD"/>
    <w:rsid w:val="1C0868FA"/>
    <w:rsid w:val="1D2147FC"/>
    <w:rsid w:val="1DE2466D"/>
    <w:rsid w:val="200E7788"/>
    <w:rsid w:val="20F509AF"/>
    <w:rsid w:val="24F80EDA"/>
    <w:rsid w:val="257354C0"/>
    <w:rsid w:val="2F9A2BEE"/>
    <w:rsid w:val="302F3016"/>
    <w:rsid w:val="32AD3812"/>
    <w:rsid w:val="3375562A"/>
    <w:rsid w:val="36311EF0"/>
    <w:rsid w:val="372149C9"/>
    <w:rsid w:val="372676A3"/>
    <w:rsid w:val="37D45B63"/>
    <w:rsid w:val="3844259F"/>
    <w:rsid w:val="3A0E2153"/>
    <w:rsid w:val="3A757A56"/>
    <w:rsid w:val="3DBD6105"/>
    <w:rsid w:val="3DD75F10"/>
    <w:rsid w:val="40152228"/>
    <w:rsid w:val="40A25757"/>
    <w:rsid w:val="4284589A"/>
    <w:rsid w:val="43B06F6F"/>
    <w:rsid w:val="466A4950"/>
    <w:rsid w:val="476674A7"/>
    <w:rsid w:val="4D0B2816"/>
    <w:rsid w:val="4EFD6450"/>
    <w:rsid w:val="4F894094"/>
    <w:rsid w:val="52983DA6"/>
    <w:rsid w:val="557E7DE9"/>
    <w:rsid w:val="5719744C"/>
    <w:rsid w:val="5F711960"/>
    <w:rsid w:val="603A47EF"/>
    <w:rsid w:val="60504835"/>
    <w:rsid w:val="64F21997"/>
    <w:rsid w:val="660E1C6F"/>
    <w:rsid w:val="664B1C51"/>
    <w:rsid w:val="672D4717"/>
    <w:rsid w:val="67342E4A"/>
    <w:rsid w:val="6A834FD1"/>
    <w:rsid w:val="6DE27FA2"/>
    <w:rsid w:val="71AB118E"/>
    <w:rsid w:val="77A11EB3"/>
    <w:rsid w:val="77A44321"/>
    <w:rsid w:val="79C86437"/>
    <w:rsid w:val="7A440C78"/>
    <w:rsid w:val="7A5D7949"/>
    <w:rsid w:val="7DE97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2"/>
    <w:basedOn w:val="1"/>
    <w:next w:val="1"/>
    <w:autoRedefine/>
    <w:qFormat/>
    <w:uiPriority w:val="0"/>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1994</Words>
  <Characters>2012</Characters>
  <Lines>0</Lines>
  <Paragraphs>0</Paragraphs>
  <TotalTime>32</TotalTime>
  <ScaleCrop>false</ScaleCrop>
  <LinksUpToDate>false</LinksUpToDate>
  <CharactersWithSpaces>2023</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2024-07-08T10:55:00Z</dcterms:created>
  <dc:creator>Administrator</dc:creator>
  <cp:lastModifiedBy>是小星星呀！</cp:lastModifiedBy>
  <dcterms:modified xsi:type="dcterms:W3CDTF">2026-04-17T06:07:10Z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24628C98AD8C46D3BDC53587CCFCDADD_13</vt:lpwstr>
  </property>
  <property fmtid="{D5CDD505-2E9C-101B-9397-08002B2CF9AE}" pid="4" name="KSOTemplateDocerSaveRecord">
    <vt:lpwstr>eyJoZGlkIjoiNTI5NWQ5ODE0NjQ1YjFjMDdmNzhjMDliNTI2MzJjZTAiLCJ1c2VySWQiOiIxMDA2OTg2NDM0In0=</vt:lpwstr>
  </property>
</Properties>
</file>